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1CFD" w14:textId="77777777" w:rsidR="00D7792B" w:rsidRPr="00E56E9D" w:rsidRDefault="00D7792B" w:rsidP="00046709">
      <w:pPr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5F49DB07" w14:textId="77777777" w:rsidR="00CF77E6" w:rsidRPr="00E56E9D" w:rsidRDefault="00CF77E6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5BAABC44" w14:textId="77777777" w:rsidR="00D7792B" w:rsidRPr="00E56E9D" w:rsidRDefault="00D7792B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16338136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E56E9D">
        <w:rPr>
          <w:rFonts w:ascii="Garamond" w:hAnsi="Garamond" w:cstheme="minorHAnsi"/>
          <w:b/>
          <w:sz w:val="24"/>
          <w:szCs w:val="24"/>
        </w:rPr>
        <w:t>a</w:t>
      </w:r>
      <w:proofErr w:type="gramEnd"/>
      <w:r w:rsidRPr="00E56E9D">
        <w:rPr>
          <w:rFonts w:ascii="Garamond" w:hAnsi="Garamond" w:cstheme="minorHAnsi"/>
          <w:b/>
          <w:sz w:val="24"/>
          <w:szCs w:val="24"/>
        </w:rPr>
        <w:t xml:space="preserve">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2018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F1348F" w:rsidRPr="00E56E9D">
        <w:rPr>
          <w:rFonts w:ascii="Garamond" w:hAnsi="Garamond" w:cstheme="minorHAnsi"/>
          <w:b/>
          <w:sz w:val="24"/>
          <w:szCs w:val="24"/>
        </w:rPr>
        <w:t>február 15</w:t>
      </w:r>
      <w:r w:rsidRPr="00E56E9D">
        <w:rPr>
          <w:rFonts w:ascii="Garamond" w:hAnsi="Garamond" w:cstheme="minorHAnsi"/>
          <w:b/>
          <w:sz w:val="24"/>
          <w:szCs w:val="24"/>
        </w:rPr>
        <w:t>-étől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68A0511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proofErr w:type="gramStart"/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AF4C39" w:rsidRPr="00E56E9D">
        <w:rPr>
          <w:rFonts w:ascii="Garamond" w:hAnsi="Garamond" w:cstheme="minorHAnsi"/>
          <w:sz w:val="24"/>
          <w:szCs w:val="24"/>
        </w:rPr>
        <w:t>február 15</w:t>
      </w:r>
      <w:r w:rsidRPr="00E56E9D">
        <w:rPr>
          <w:rFonts w:ascii="Garamond" w:hAnsi="Garamond" w:cstheme="minorHAnsi"/>
          <w:sz w:val="24"/>
          <w:szCs w:val="24"/>
        </w:rPr>
        <w:t xml:space="preserve">-étől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24B7C07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>pályázati felhívás</w:t>
      </w:r>
      <w:r w:rsidR="000F6FC6" w:rsidRPr="00E56E9D">
        <w:rPr>
          <w:rFonts w:ascii="Garamond" w:hAnsi="Garamond" w:cstheme="minorHAnsi"/>
          <w:sz w:val="24"/>
          <w:szCs w:val="24"/>
        </w:rPr>
        <w:t>t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  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és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="00DE7CED" w:rsidRPr="00E56E9D">
        <w:rPr>
          <w:rFonts w:ascii="Garamond" w:hAnsi="Garamond" w:cstheme="minorHAnsi"/>
          <w:sz w:val="24"/>
          <w:szCs w:val="24"/>
        </w:rPr>
        <w:t>ezen</w:t>
      </w:r>
      <w:proofErr w:type="gramEnd"/>
      <w:r w:rsidR="00DE7CED" w:rsidRPr="00E56E9D">
        <w:rPr>
          <w:rFonts w:ascii="Garamond" w:hAnsi="Garamond" w:cstheme="minorHAnsi"/>
          <w:sz w:val="24"/>
          <w:szCs w:val="24"/>
        </w:rPr>
        <w:t xml:space="preserve">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.o</w:t>
      </w:r>
      <w:proofErr w:type="gramEnd"/>
      <w:r w:rsidRPr="00E56E9D">
        <w:rPr>
          <w:rFonts w:ascii="Garamond" w:hAnsi="Garamond" w:cstheme="minorHAnsi"/>
          <w:sz w:val="24"/>
          <w:szCs w:val="24"/>
        </w:rPr>
        <w:t>) és a Nemzeti Kutatási, Fejlesztési és Innovációs Alap működtetésének és felhasználásának szabályairól szóló 380/2014. (XII. 31.) Korm. rendelet 45.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7908926D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  <w:bookmarkStart w:id="0" w:name="_GoBack"/>
      <w:bookmarkEnd w:id="0"/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 xml:space="preserve">meghatározott mértékben és ütemezésben. Előleg folyósításáról a Támogató előlegigénylésenként dönt, az előleg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folyósítása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nem automatikus.</w:t>
      </w:r>
    </w:p>
    <w:p w14:paraId="589DC2A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057B945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Pr="00E56E9D">
        <w:rPr>
          <w:rFonts w:ascii="Garamond" w:hAnsi="Garamond" w:cstheme="minorHAnsi"/>
          <w:sz w:val="24"/>
          <w:szCs w:val="24"/>
        </w:rPr>
        <w:t xml:space="preserve"> benyújtásával kezdeményezheti. 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2.2.3.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21C9225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30  napon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15  napon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..</w:t>
      </w:r>
      <w:proofErr w:type="gramEnd"/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760EB5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kézhezvételétől számított 60 napon belül legfeljebb egy alkalommal felszólítja a Kedvezményezettet 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hiány</w:t>
      </w:r>
      <w:r w:rsidR="00D24F1F" w:rsidRPr="00E56E9D">
        <w:rPr>
          <w:rFonts w:ascii="Garamond" w:hAnsi="Garamond" w:cstheme="minorHAnsi"/>
          <w:sz w:val="24"/>
          <w:szCs w:val="24"/>
        </w:rPr>
        <w:t>(</w:t>
      </w:r>
      <w:proofErr w:type="gramEnd"/>
      <w:r w:rsidR="00D24F1F" w:rsidRPr="00E56E9D">
        <w:rPr>
          <w:rFonts w:ascii="Garamond" w:hAnsi="Garamond" w:cstheme="minorHAnsi"/>
          <w:sz w:val="24"/>
          <w:szCs w:val="24"/>
        </w:rPr>
        <w:t>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E56E9D">
        <w:rPr>
          <w:rFonts w:ascii="Garamond" w:hAnsi="Garamond" w:cstheme="minorHAnsi"/>
          <w:sz w:val="24"/>
          <w:szCs w:val="24"/>
        </w:rPr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lastRenderedPageBreak/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BD7DF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</w:t>
      </w:r>
      <w:proofErr w:type="spellStart"/>
      <w:r w:rsidR="00DD0079"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="00DD0079" w:rsidRPr="00E56E9D">
        <w:rPr>
          <w:rFonts w:ascii="Garamond" w:hAnsi="Garamond" w:cstheme="minorHAnsi"/>
          <w:sz w:val="24"/>
          <w:szCs w:val="24"/>
        </w:rPr>
        <w:t xml:space="preserve">) </w:t>
      </w:r>
      <w:r w:rsidRPr="00E56E9D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rész- vagy </w:t>
      </w:r>
      <w:proofErr w:type="spellStart"/>
      <w:r w:rsidR="00696B23" w:rsidRPr="00E56E9D">
        <w:rPr>
          <w:rFonts w:ascii="Garamond" w:hAnsi="Garamond" w:cstheme="minorHAnsi"/>
          <w:sz w:val="24"/>
          <w:szCs w:val="24"/>
        </w:rPr>
        <w:t>záró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rész- vagy </w:t>
      </w:r>
      <w:proofErr w:type="spellStart"/>
      <w:r w:rsidR="00696B23" w:rsidRPr="00E56E9D">
        <w:rPr>
          <w:rFonts w:ascii="Garamond" w:hAnsi="Garamond" w:cstheme="minorHAnsi"/>
          <w:sz w:val="24"/>
          <w:szCs w:val="24"/>
        </w:rPr>
        <w:t>záró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elfogadását követő 30 napon belül utalja át a Kedvezményezett Támogatási szerződésben megjelölt fizetési számlájára.</w:t>
      </w:r>
    </w:p>
    <w:p w14:paraId="0891BFF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BA6CED9" w:rsidR="00046709" w:rsidRPr="00E56E9D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</w:t>
      </w:r>
      <w:proofErr w:type="spellStart"/>
      <w:r w:rsidRPr="00E56E9D">
        <w:rPr>
          <w:rFonts w:ascii="Garamond" w:eastAsia="Calibri" w:hAnsi="Garamond" w:cs="Calibri"/>
          <w:sz w:val="24"/>
          <w:szCs w:val="24"/>
        </w:rPr>
        <w:t>záróbeszámolót</w:t>
      </w:r>
      <w:proofErr w:type="spellEnd"/>
      <w:r w:rsidRPr="00E56E9D">
        <w:rPr>
          <w:rFonts w:ascii="Garamond" w:eastAsia="Calibri" w:hAnsi="Garamond" w:cs="Calibri"/>
          <w:sz w:val="24"/>
          <w:szCs w:val="24"/>
        </w:rPr>
        <w:t xml:space="preserve">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="005208C1" w:rsidRPr="00E56E9D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="005208C1" w:rsidRPr="00E56E9D">
        <w:rPr>
          <w:rFonts w:ascii="Garamond" w:hAnsi="Garamond" w:cstheme="minorHAnsi"/>
          <w:sz w:val="24"/>
          <w:szCs w:val="24"/>
        </w:rPr>
        <w:t xml:space="preserve"> vonatkozó előírásokat egyaránt alkalmazni kell. </w:t>
      </w:r>
    </w:p>
    <w:p w14:paraId="0962F7B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695A1C9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3.2.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kérelemhez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</w:t>
      </w:r>
      <w:proofErr w:type="spellStart"/>
      <w:r w:rsidR="00DD29B1" w:rsidRPr="00E56E9D">
        <w:rPr>
          <w:rFonts w:ascii="Garamond" w:hAnsi="Garamond" w:cstheme="minorHAnsi"/>
          <w:sz w:val="24"/>
          <w:szCs w:val="24"/>
        </w:rPr>
        <w:t>záróbeszámolóhoz</w:t>
      </w:r>
      <w:proofErr w:type="spellEnd"/>
      <w:r w:rsidR="00DD29B1" w:rsidRPr="00E56E9D">
        <w:rPr>
          <w:rFonts w:ascii="Garamond" w:hAnsi="Garamond" w:cstheme="minorHAnsi"/>
          <w:sz w:val="24"/>
          <w:szCs w:val="24"/>
        </w:rPr>
        <w:t xml:space="preserve">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 xml:space="preserve">z államháztartásról szóló törvény végrehajtásáról szóló 368/2011. (XII. 31.) Korm. rendelet (a továbbiakban: </w:t>
      </w:r>
      <w:proofErr w:type="spellStart"/>
      <w:r w:rsidR="00FB3F47"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FB3F47" w:rsidRPr="00E56E9D">
        <w:rPr>
          <w:rFonts w:ascii="Garamond" w:hAnsi="Garamond" w:cstheme="minorHAnsi"/>
          <w:sz w:val="24"/>
          <w:szCs w:val="24"/>
        </w:rPr>
        <w:t>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</w:t>
      </w:r>
      <w:proofErr w:type="spellStart"/>
      <w:r w:rsidR="009D7081" w:rsidRPr="00E56E9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="009D7081" w:rsidRPr="00E56E9D">
        <w:rPr>
          <w:rFonts w:ascii="Garamond" w:hAnsi="Garamond" w:cstheme="minorHAnsi"/>
          <w:sz w:val="24"/>
          <w:szCs w:val="24"/>
        </w:rPr>
        <w:t xml:space="preserve">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</w:t>
      </w:r>
      <w:proofErr w:type="spellStart"/>
      <w:r w:rsidR="009E7D30"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="009E7D30" w:rsidRPr="00E56E9D">
        <w:rPr>
          <w:rFonts w:ascii="Garamond" w:hAnsi="Garamond" w:cstheme="minorHAnsi"/>
          <w:sz w:val="24"/>
          <w:szCs w:val="24"/>
        </w:rPr>
        <w:t xml:space="preserve">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6227F5E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záróbeszámolót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a Támogatás – és amennyiben a Kedvezményezett annak biztosítására köteles, a saját forrás – terhére kizárólag a Projekt megvalósítása során a támogatott tevékenység 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471546E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164DA7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>A Kedvezményezett a támogatott tevékenység megvalósítása során a Támogatás – és amennyiben a Kedvezményezett annak biztosítására köteles, a saját forrás – terhére a százezer forint értékhatárt meghaladó értékű, áru beszerzésére vagy szolgáltatás megrendelésére irányuló 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</w:t>
      </w:r>
      <w:proofErr w:type="spellStart"/>
      <w:r w:rsidR="00032201" w:rsidRPr="00E56E9D">
        <w:rPr>
          <w:rFonts w:ascii="Garamond" w:hAnsi="Garamond" w:cstheme="minorHAnsi"/>
          <w:sz w:val="24"/>
          <w:szCs w:val="24"/>
        </w:rPr>
        <w:t>-á</w:t>
      </w:r>
      <w:r w:rsidR="00F972AA" w:rsidRPr="00E56E9D">
        <w:rPr>
          <w:rFonts w:ascii="Garamond" w:hAnsi="Garamond" w:cstheme="minorHAnsi"/>
          <w:sz w:val="24"/>
          <w:szCs w:val="24"/>
        </w:rPr>
        <w:t>ban</w:t>
      </w:r>
      <w:proofErr w:type="spellEnd"/>
      <w:r w:rsidR="00F972AA" w:rsidRPr="00E56E9D">
        <w:rPr>
          <w:rFonts w:ascii="Garamond" w:hAnsi="Garamond" w:cstheme="minorHAnsi"/>
          <w:sz w:val="24"/>
          <w:szCs w:val="24"/>
        </w:rPr>
        <w:t xml:space="preserve">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3C11014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2A2297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záróbeszámolóval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elfogadására a 2.2.5-2.2.6. pontban foglaltakat kell megfelelően alkalmazni.</w:t>
      </w:r>
    </w:p>
    <w:p w14:paraId="6F83D88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záróbeszámolóról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139E0CA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értékelésére és elfogadására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 xml:space="preserve">és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35059C"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35059C" w:rsidRPr="00E56E9D">
        <w:rPr>
          <w:rFonts w:ascii="Garamond" w:hAnsi="Garamond" w:cstheme="minorHAnsi"/>
          <w:sz w:val="24"/>
          <w:szCs w:val="24"/>
        </w:rPr>
        <w:t>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proofErr w:type="gramStart"/>
      <w:r w:rsidR="00F972AA" w:rsidRPr="00E56E9D">
        <w:rPr>
          <w:rFonts w:ascii="Garamond" w:hAnsi="Garamond" w:cstheme="minorHAnsi"/>
          <w:sz w:val="24"/>
          <w:szCs w:val="24"/>
        </w:rPr>
        <w:t>ezen</w:t>
      </w:r>
      <w:proofErr w:type="gramEnd"/>
      <w:r w:rsidR="00F972AA"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8469D8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046709" w:rsidRPr="00E56E9D">
        <w:rPr>
          <w:rFonts w:ascii="Garamond" w:hAnsi="Garamond" w:cstheme="minorHAnsi"/>
          <w:sz w:val="24"/>
          <w:szCs w:val="24"/>
        </w:rPr>
        <w:t>záróbeszámolón</w:t>
      </w:r>
      <w:proofErr w:type="spellEnd"/>
      <w:r w:rsidR="00046709" w:rsidRPr="00E56E9D">
        <w:rPr>
          <w:rFonts w:ascii="Garamond" w:hAnsi="Garamond" w:cstheme="minorHAnsi"/>
          <w:sz w:val="24"/>
          <w:szCs w:val="24"/>
        </w:rPr>
        <w:t xml:space="preserve">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727CA3"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727CA3" w:rsidRPr="00E56E9D">
        <w:rPr>
          <w:rFonts w:ascii="Garamond" w:hAnsi="Garamond" w:cstheme="minorHAnsi"/>
          <w:sz w:val="24"/>
          <w:szCs w:val="24"/>
        </w:rPr>
        <w:t xml:space="preserve">. </w:t>
      </w:r>
      <w:r w:rsidRPr="00E56E9D">
        <w:rPr>
          <w:rFonts w:ascii="Garamond" w:hAnsi="Garamond" w:cstheme="minorHAnsi"/>
          <w:sz w:val="24"/>
          <w:szCs w:val="24"/>
        </w:rPr>
        <w:t xml:space="preserve">102/B. § (1) bekezdésében foglalt feltételek teljesültek. A Projekt akkor tekinthető lezártnak, ha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102/B. § (2) bekezdésében foglalt feltételek teljesültek.</w:t>
      </w:r>
    </w:p>
    <w:p w14:paraId="1C8D016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megvalósítása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meghiúsul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visszavonja</w:t>
      </w:r>
      <w:proofErr w:type="gramEnd"/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nem rendelkezik a támogatott tevékenységhez szükséges hatósági engedélyekkel, figyelembe véve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bejelentés alapján a bejelentés kézhezvételét követő 45 napon belül megteszi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Támogatási szerződés és mellékleteinek módosítására (a jelen cím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vonatkozásában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a továbbiakban: szerződésmódosítás)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</w:r>
      <w:proofErr w:type="gramStart"/>
      <w:r w:rsidRPr="00E56E9D">
        <w:rPr>
          <w:rFonts w:ascii="Garamond" w:hAnsi="Garamond" w:cstheme="minorHAnsi"/>
          <w:sz w:val="24"/>
          <w:szCs w:val="24"/>
        </w:rPr>
        <w:t>A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5.4.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>szerződésmódosítás iránti kérelmét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</w:t>
      </w:r>
      <w:proofErr w:type="spellStart"/>
      <w:r w:rsidR="0063303C" w:rsidRPr="00E56E9D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záróelszámolást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érinti, nincs szükség szerződésmódosításra, a költségek a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76095E24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 xml:space="preserve">a hiánypótlásra rendelkezésre álló határidő leteltéig nem vagy nem megfelelően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tesz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 xml:space="preserve">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záróbeszámolóját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elutasítja;</w:t>
      </w:r>
    </w:p>
    <w:p w14:paraId="7B60C4BC" w14:textId="0F271E3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amennyiben a Projekt szerinti tevékenység hatósági engedélyhez kötött, a jogerős hatósági engedély beszerzéséig figyelembe véve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biztosíték nyújtására köteles és nem teljesíti 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biztosíték rendelkezésre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folyósításának felfüggesztése esetén a Kedvezményezettet kártalanítás, kártérítés, illetve késedelmi kamat nem illeti meg. A Kedvezményezettet a vele szemben alkalmazott intézkedések és jogkövetkezmények nem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mentesítik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foglalt valamely körülmény a támogatási döntés meghozatalát követően következik be vagy jut a Támogató tudomására;</w:t>
      </w:r>
    </w:p>
    <w:p w14:paraId="5542BDA1" w14:textId="0BE111C3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 xml:space="preserve">vagy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>kötelezettségének nem vagy nem megfelelően tesz eleget a 2.2.5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.,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2.2.6. </w:t>
      </w:r>
      <w:r w:rsidR="000F60A0" w:rsidRPr="00E56E9D">
        <w:rPr>
          <w:rFonts w:ascii="Garamond" w:hAnsi="Garamond" w:cstheme="minorHAnsi"/>
          <w:sz w:val="24"/>
          <w:szCs w:val="24"/>
        </w:rPr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támogatott tevékenységhez szükséges hatósági engedéllyel nem rendelkezik figyelembe véve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proofErr w:type="gramStart"/>
      <w:r w:rsidRPr="00E56E9D">
        <w:rPr>
          <w:rFonts w:ascii="Garamond" w:hAnsi="Garamond" w:cstheme="minorHAnsi"/>
          <w:sz w:val="24"/>
          <w:szCs w:val="24"/>
        </w:rPr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vállalkozásában felügyeleti, irányítói jogkört gyakorló személynek a Ptk. 8:1.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szerinti közeli hozzátartozójának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minősül(</w:t>
      </w:r>
      <w:proofErr w:type="gramEnd"/>
      <w:r w:rsidRPr="00E56E9D">
        <w:rPr>
          <w:rFonts w:ascii="Garamond" w:hAnsi="Garamond" w:cstheme="minorHAnsi"/>
          <w:sz w:val="24"/>
          <w:szCs w:val="24"/>
        </w:rPr>
        <w:t>t) vagy</w:t>
      </w:r>
    </w:p>
    <w:p w14:paraId="5B9DD65A" w14:textId="5F8F7C73" w:rsidR="00046709" w:rsidRPr="00E56E9D" w:rsidRDefault="00046709" w:rsidP="00E56E9D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proofErr w:type="spellStart"/>
      <w:r w:rsidRPr="00E56E9D">
        <w:rPr>
          <w:rFonts w:ascii="Garamond" w:hAnsi="Garamond" w:cstheme="minorHAnsi"/>
          <w:sz w:val="24"/>
          <w:szCs w:val="24"/>
        </w:rPr>
        <w:t>mb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7.1.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mb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</w:t>
      </w:r>
      <w:proofErr w:type="gramStart"/>
      <w:r w:rsidRPr="00E56E9D">
        <w:rPr>
          <w:rFonts w:ascii="Garamond" w:hAnsi="Garamond"/>
          <w:sz w:val="24"/>
          <w:szCs w:val="24"/>
        </w:rPr>
        <w:t>áll(</w:t>
      </w:r>
      <w:proofErr w:type="gramEnd"/>
      <w:r w:rsidRPr="00E56E9D">
        <w:rPr>
          <w:rFonts w:ascii="Garamond" w:hAnsi="Garamond"/>
          <w:sz w:val="24"/>
          <w:szCs w:val="24"/>
        </w:rPr>
        <w:t>t) fenn;</w:t>
      </w:r>
    </w:p>
    <w:p w14:paraId="72E18778" w14:textId="01FAD6C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a Támogatási szerződéstől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eláll</w:t>
      </w:r>
      <w:proofErr w:type="gramEnd"/>
      <w:r w:rsidRPr="00E56E9D">
        <w:rPr>
          <w:rFonts w:ascii="Garamond" w:hAnsi="Garamond" w:cstheme="minorHAnsi"/>
          <w:sz w:val="24"/>
          <w:szCs w:val="24"/>
        </w:rPr>
        <w:t xml:space="preserve">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Az ügyleti és késedelmi kamat számítására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5DD90196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>a támogatási jogviszony teljesítésében közvetlen módon közreműködnek 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5B99A3A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Támogatással kapcsolatos valamennyi dokumentumot, okiratot, valamint a Támogatás felhasználását alátámasztó bizonylatokat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záróbeszámolója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7CBDC0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761E0A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4A4B90E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adhatja bérbe vagy más használatába, illetve terhelheti meg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102. §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-ának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figyelembevételével.</w:t>
      </w:r>
    </w:p>
    <w:p w14:paraId="0683400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</w:t>
      </w:r>
      <w:proofErr w:type="spellStart"/>
      <w:r w:rsidRPr="00E56E9D">
        <w:rPr>
          <w:rFonts w:ascii="Garamond" w:eastAsia="Calibri" w:hAnsi="Garamond" w:cs="Calibri"/>
          <w:sz w:val="24"/>
          <w:szCs w:val="24"/>
        </w:rPr>
        <w:t>záróbeszámolókban</w:t>
      </w:r>
      <w:proofErr w:type="spellEnd"/>
      <w:r w:rsidRPr="00E56E9D">
        <w:rPr>
          <w:rFonts w:ascii="Garamond" w:eastAsia="Calibri" w:hAnsi="Garamond" w:cs="Calibri"/>
          <w:sz w:val="24"/>
          <w:szCs w:val="24"/>
        </w:rPr>
        <w:t xml:space="preserve">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Kedvezményezettnek a Projekt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Pr="00E56E9D">
        <w:rPr>
          <w:rFonts w:ascii="Garamond" w:hAnsi="Garamond" w:cstheme="minorHAnsi"/>
          <w:sz w:val="24"/>
          <w:szCs w:val="24"/>
        </w:rPr>
        <w:t xml:space="preserve">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56C015C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</w:t>
      </w:r>
      <w:proofErr w:type="spellStart"/>
      <w:r w:rsidRPr="00E56E9D">
        <w:rPr>
          <w:rFonts w:ascii="Garamond" w:hAnsi="Garamond" w:cstheme="minorHAnsi"/>
          <w:sz w:val="24"/>
          <w:szCs w:val="24"/>
        </w:rPr>
        <w:t>Ávr</w:t>
      </w:r>
      <w:proofErr w:type="spellEnd"/>
      <w:r w:rsidRPr="00E56E9D">
        <w:rPr>
          <w:rFonts w:ascii="Garamond" w:hAnsi="Garamond" w:cstheme="minorHAnsi"/>
          <w:sz w:val="24"/>
          <w:szCs w:val="24"/>
        </w:rPr>
        <w:t>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5BA67D5D" w14:textId="77777777" w:rsidR="002B605B" w:rsidRPr="00E56E9D" w:rsidRDefault="002B605B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78620A55" w:rsidR="007A0386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Kedvezményezett haladéktalanul, de legkésőbb 8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5350BD3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év …</w:t>
      </w:r>
      <w:proofErr w:type="gramEnd"/>
      <w:r w:rsidRPr="00E56E9D">
        <w:rPr>
          <w:rFonts w:ascii="Garamond" w:hAnsi="Garamond" w:cstheme="minorHAnsi"/>
          <w:sz w:val="24"/>
          <w:szCs w:val="24"/>
        </w:rPr>
        <w:t>………… hó …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06180B5C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695AF950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E56E9D">
        <w:rPr>
          <w:rFonts w:ascii="Garamond" w:hAnsi="Garamond" w:cstheme="minorHAnsi"/>
          <w:b/>
          <w:sz w:val="24"/>
          <w:szCs w:val="24"/>
        </w:rPr>
        <w:t>elnök</w:t>
      </w:r>
      <w:proofErr w:type="gramEnd"/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77EAE1DE" w14:textId="1A1524FE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 xml:space="preserve">jelen </w:t>
      </w:r>
      <w:r w:rsidRPr="00E56E9D">
        <w:rPr>
          <w:rFonts w:ascii="Garamond" w:hAnsi="Garamond" w:cstheme="minorHAnsi"/>
          <w:sz w:val="24"/>
          <w:szCs w:val="24"/>
          <w:highlight w:val="yellow"/>
        </w:rPr>
        <w:t>…</w:t>
      </w:r>
      <w:proofErr w:type="gramEnd"/>
      <w:r w:rsidRPr="00E56E9D">
        <w:rPr>
          <w:rFonts w:ascii="Garamond" w:hAnsi="Garamond" w:cstheme="minorHAnsi"/>
          <w:sz w:val="24"/>
          <w:szCs w:val="24"/>
          <w:highlight w:val="yellow"/>
        </w:rPr>
        <w:t xml:space="preserve"> számozott</w:t>
      </w:r>
      <w:r w:rsidRPr="00E56E9D">
        <w:rPr>
          <w:rFonts w:ascii="Garamond" w:hAnsi="Garamond" w:cstheme="minorHAnsi"/>
          <w:sz w:val="24"/>
          <w:szCs w:val="24"/>
        </w:rPr>
        <w:t xml:space="preserve"> oldalból álló Teljesítési feltételeket megismertem, és az abban foglaltakat magamra nézve kötelezőnek ismerem el.</w:t>
      </w:r>
    </w:p>
    <w:p w14:paraId="08E7EEBF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F6421AB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Kelt</w:t>
      </w:r>
      <w:proofErr w:type="gramStart"/>
      <w:r w:rsidRPr="00E56E9D">
        <w:rPr>
          <w:rFonts w:ascii="Garamond" w:hAnsi="Garamond" w:cstheme="minorHAnsi"/>
          <w:sz w:val="24"/>
          <w:szCs w:val="24"/>
        </w:rPr>
        <w:t>: …</w:t>
      </w:r>
      <w:proofErr w:type="gramEnd"/>
      <w:r w:rsidRPr="00E56E9D">
        <w:rPr>
          <w:rFonts w:ascii="Garamond" w:hAnsi="Garamond" w:cstheme="minorHAnsi"/>
          <w:sz w:val="24"/>
          <w:szCs w:val="24"/>
        </w:rPr>
        <w:t>……..……, 201… év …………… hó …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5F6C7071" w14:textId="77777777" w:rsidR="00E56E9D" w:rsidRPr="00E56E9D" w:rsidRDefault="00E56E9D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</w:p>
          <w:p w14:paraId="0FCAB7D3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&lt;Képviselő neve&gt;</w:t>
            </w:r>
          </w:p>
          <w:p w14:paraId="6EFAD2A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 w14:paraId="2770F318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</w:tbl>
    <w:p w14:paraId="052D6FA3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B12C539" w14:textId="7E60E442" w:rsidR="00794A32" w:rsidRPr="00E56E9D" w:rsidRDefault="00794A32" w:rsidP="00E56E9D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794A32" w:rsidRPr="00E56E9D" w:rsidSect="0079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391" w14:textId="77777777" w:rsidR="00190884" w:rsidRDefault="00190884" w:rsidP="00363146">
      <w:r>
        <w:separator/>
      </w:r>
    </w:p>
  </w:endnote>
  <w:endnote w:type="continuationSeparator" w:id="0">
    <w:p w14:paraId="3F449A28" w14:textId="77777777" w:rsidR="00190884" w:rsidRDefault="0019088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E526" w14:textId="77777777" w:rsidR="00E27D31" w:rsidRDefault="00E27D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30E3F6D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280C211E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B7DcM5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0C211E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2567A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2567A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027FF7CB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335155F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05pt;margin-top:.7pt;width:385.35pt;height:3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335155F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186A172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2567A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B2567A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E418" w14:textId="77777777" w:rsidR="00190884" w:rsidRDefault="00190884" w:rsidP="00363146">
      <w:r>
        <w:separator/>
      </w:r>
    </w:p>
  </w:footnote>
  <w:footnote w:type="continuationSeparator" w:id="0">
    <w:p w14:paraId="19BD185C" w14:textId="77777777" w:rsidR="00190884" w:rsidRDefault="0019088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9602" w14:textId="460FD922" w:rsidR="00E27D31" w:rsidRDefault="00B2567A">
    <w:pPr>
      <w:pStyle w:val="lfej"/>
    </w:pPr>
    <w:r>
      <w:rPr>
        <w:noProof/>
      </w:rPr>
      <w:pict w14:anchorId="0A38F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5535" o:spid="_x0000_s8194" type="#_x0000_t136" style="position:absolute;left:0;text-align:left;margin-left:0;margin-top:0;width:465.1pt;height:174.4pt;rotation:315;z-index:-251618304;mso-position-horizontal:center;mso-position-horizontal-relative:margin;mso-position-vertical:center;mso-position-vertical-relative:margin" o:allowincell="f" fillcolor="#747070 [1614]" stroked="f">
          <v:fill opacity=".5"/>
          <v:textpath style="font-family:&quot;Garamond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9C1" w14:textId="3120CF51" w:rsidR="00794A32" w:rsidRPr="00C63615" w:rsidRDefault="00B2567A" w:rsidP="00794A32">
    <w:pPr>
      <w:pStyle w:val="lfej"/>
      <w:rPr>
        <w:color w:val="FFFFFF" w:themeColor="background1"/>
      </w:rPr>
    </w:pPr>
    <w:r>
      <w:rPr>
        <w:noProof/>
      </w:rPr>
      <w:pict w14:anchorId="01A85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5536" o:spid="_x0000_s8195" type="#_x0000_t136" style="position:absolute;left:0;text-align:left;margin-left:0;margin-top:0;width:465.1pt;height:174.4pt;rotation:315;z-index:-251616256;mso-position-horizontal:center;mso-position-horizontal-relative:margin;mso-position-vertical:center;mso-position-vertical-relative:margin" o:allowincell="f" fillcolor="#747070 [1614]" stroked="f">
          <v:fill opacity=".5"/>
          <v:textpath style="font-family:&quot;Garamond&quot;;font-size:1pt" string="TERVEZET"/>
          <w10:wrap anchorx="margin" anchory="margin"/>
        </v:shape>
      </w:pict>
    </w:r>
    <w:r w:rsidR="00794A32"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432B45D1" wp14:editId="6E22418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94A32" w:rsidRPr="00C63615">
      <w:rPr>
        <w:color w:val="FFFFFF" w:themeColor="background1"/>
      </w:rPr>
      <w:t>veg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177" w14:textId="448BF48F" w:rsidR="008209DB" w:rsidRPr="00801EAD" w:rsidRDefault="00B2567A" w:rsidP="00801EAD">
    <w:pPr>
      <w:pStyle w:val="lfej"/>
      <w:jc w:val="right"/>
      <w:rPr>
        <w:rFonts w:ascii="Garamond" w:hAnsi="Garamond"/>
      </w:rPr>
    </w:pPr>
    <w:r>
      <w:rPr>
        <w:noProof/>
      </w:rPr>
      <w:pict w14:anchorId="2258D2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5534" o:spid="_x0000_s8193" type="#_x0000_t136" style="position:absolute;left:0;text-align:left;margin-left:0;margin-top:0;width:465.1pt;height:174.4pt;rotation:315;z-index:-251620352;mso-position-horizontal:center;mso-position-horizontal-relative:margin;mso-position-vertical:center;mso-position-vertical-relative:margin" o:allowincell="f" fillcolor="#747070 [1614]" stroked="f">
          <v:fill opacity=".5"/>
          <v:textpath style="font-family:&quot;Garamond&quot;;font-size:1pt" string="TERVEZET"/>
          <w10:wrap anchorx="margin" anchory="margin"/>
        </v:shape>
      </w:pict>
    </w:r>
    <w:r w:rsidR="00801EAD" w:rsidRPr="00801EAD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85888" behindDoc="0" locked="0" layoutInCell="1" allowOverlap="1" wp14:anchorId="5C3227EC" wp14:editId="0B3277C8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EAD" w:rsidRPr="00801EAD">
      <w:rPr>
        <w:rFonts w:ascii="Garamond" w:hAnsi="Garamond"/>
        <w:sz w:val="20"/>
      </w:rPr>
      <w:t>Minta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302C1"/>
    <w:rsid w:val="001307AC"/>
    <w:rsid w:val="001339D1"/>
    <w:rsid w:val="001436B3"/>
    <w:rsid w:val="00156A45"/>
    <w:rsid w:val="001661E5"/>
    <w:rsid w:val="001737DC"/>
    <w:rsid w:val="00180177"/>
    <w:rsid w:val="0018737B"/>
    <w:rsid w:val="00190884"/>
    <w:rsid w:val="00193B94"/>
    <w:rsid w:val="001A3B90"/>
    <w:rsid w:val="001A6371"/>
    <w:rsid w:val="001A7A75"/>
    <w:rsid w:val="001B575B"/>
    <w:rsid w:val="001D3166"/>
    <w:rsid w:val="001D5FDB"/>
    <w:rsid w:val="001D65A8"/>
    <w:rsid w:val="001F12B2"/>
    <w:rsid w:val="001F2F1B"/>
    <w:rsid w:val="001F50AB"/>
    <w:rsid w:val="00207219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5059C"/>
    <w:rsid w:val="00363146"/>
    <w:rsid w:val="003635FB"/>
    <w:rsid w:val="00382BDE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531E"/>
    <w:rsid w:val="004E689C"/>
    <w:rsid w:val="005005D4"/>
    <w:rsid w:val="00502C94"/>
    <w:rsid w:val="005071CE"/>
    <w:rsid w:val="00507448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564"/>
    <w:rsid w:val="005E49EB"/>
    <w:rsid w:val="005E7C55"/>
    <w:rsid w:val="005F044C"/>
    <w:rsid w:val="005F6C08"/>
    <w:rsid w:val="00601B23"/>
    <w:rsid w:val="006106D3"/>
    <w:rsid w:val="0061624B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93232"/>
    <w:rsid w:val="00794A32"/>
    <w:rsid w:val="007A0386"/>
    <w:rsid w:val="007A0E28"/>
    <w:rsid w:val="007A4C7F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1189B"/>
    <w:rsid w:val="0081451B"/>
    <w:rsid w:val="008209DB"/>
    <w:rsid w:val="00823FA8"/>
    <w:rsid w:val="008303A3"/>
    <w:rsid w:val="0083538F"/>
    <w:rsid w:val="00841067"/>
    <w:rsid w:val="008437ED"/>
    <w:rsid w:val="00851579"/>
    <w:rsid w:val="00852449"/>
    <w:rsid w:val="008533A4"/>
    <w:rsid w:val="00853680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5314"/>
    <w:rsid w:val="009C6EA3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572A"/>
    <w:rsid w:val="00A071C3"/>
    <w:rsid w:val="00A12FAF"/>
    <w:rsid w:val="00A147FA"/>
    <w:rsid w:val="00A14B08"/>
    <w:rsid w:val="00A2376E"/>
    <w:rsid w:val="00A31EF0"/>
    <w:rsid w:val="00A34104"/>
    <w:rsid w:val="00A438D8"/>
    <w:rsid w:val="00A44719"/>
    <w:rsid w:val="00A454A5"/>
    <w:rsid w:val="00A52717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6AC3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2567A"/>
    <w:rsid w:val="00B43456"/>
    <w:rsid w:val="00B60ADF"/>
    <w:rsid w:val="00B60B3F"/>
    <w:rsid w:val="00B6445F"/>
    <w:rsid w:val="00B65C28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5AF8"/>
    <w:rsid w:val="00C105E0"/>
    <w:rsid w:val="00C17E56"/>
    <w:rsid w:val="00C24341"/>
    <w:rsid w:val="00C3605E"/>
    <w:rsid w:val="00C401FA"/>
    <w:rsid w:val="00C54C6C"/>
    <w:rsid w:val="00C71FC6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C1D9A"/>
    <w:rsid w:val="00CC79F9"/>
    <w:rsid w:val="00CD2B2B"/>
    <w:rsid w:val="00CE14D1"/>
    <w:rsid w:val="00CF2389"/>
    <w:rsid w:val="00CF4B85"/>
    <w:rsid w:val="00CF77E6"/>
    <w:rsid w:val="00D0077D"/>
    <w:rsid w:val="00D24F1F"/>
    <w:rsid w:val="00D27D68"/>
    <w:rsid w:val="00D300DC"/>
    <w:rsid w:val="00D34A82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27D31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B0179"/>
    <w:rsid w:val="00EB3153"/>
    <w:rsid w:val="00EC433E"/>
    <w:rsid w:val="00ED6DC8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2EDB"/>
    <w:rsid w:val="00F5290B"/>
    <w:rsid w:val="00F60791"/>
    <w:rsid w:val="00F60BC9"/>
    <w:rsid w:val="00F61F12"/>
    <w:rsid w:val="00F67DD0"/>
    <w:rsid w:val="00F840C8"/>
    <w:rsid w:val="00F85FF5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C5B1-39B3-4A9B-A749-0146136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5496</Words>
  <Characters>37930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Führer Zsuzsanna</cp:lastModifiedBy>
  <cp:revision>3</cp:revision>
  <cp:lastPrinted>2018-02-09T13:15:00Z</cp:lastPrinted>
  <dcterms:created xsi:type="dcterms:W3CDTF">2018-04-27T11:52:00Z</dcterms:created>
  <dcterms:modified xsi:type="dcterms:W3CDTF">2018-05-02T12:16:00Z</dcterms:modified>
</cp:coreProperties>
</file>