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DE5DE1" w:rsidRDefault="009B6A65" w:rsidP="009B6A65">
      <w:pPr>
        <w:pStyle w:val="lfej"/>
        <w:rPr>
          <w:rFonts w:ascii="Garamond" w:hAnsi="Garamond"/>
        </w:rPr>
      </w:pPr>
      <w:r w:rsidRPr="00DE5DE1">
        <w:rPr>
          <w:rFonts w:ascii="Garamond" w:hAnsi="Garamond"/>
        </w:rPr>
        <w:t>Név:</w:t>
      </w:r>
      <w:r w:rsidR="00BC49B7">
        <w:rPr>
          <w:rFonts w:ascii="Garamond" w:hAnsi="Garamond"/>
        </w:rPr>
        <w:t xml:space="preserve"> </w:t>
      </w:r>
      <w:permStart w:id="2137871802" w:edGrp="everyone"/>
      <w:r w:rsidR="00812043">
        <w:rPr>
          <w:rFonts w:ascii="Garamond" w:hAnsi="Garamond"/>
        </w:rPr>
        <w:t>…………………………………</w:t>
      </w:r>
      <w:r w:rsidR="00BC49B7">
        <w:rPr>
          <w:rFonts w:ascii="Garamond" w:hAnsi="Garamond"/>
        </w:rPr>
        <w:t>…</w:t>
      </w:r>
      <w:permEnd w:id="2137871802"/>
    </w:p>
    <w:p w:rsidR="009B6A65" w:rsidRPr="00DE5DE1" w:rsidRDefault="009B6A65" w:rsidP="009B6A65">
      <w:pPr>
        <w:pStyle w:val="lfej"/>
        <w:rPr>
          <w:rFonts w:ascii="Garamond" w:hAnsi="Garamond"/>
        </w:rPr>
      </w:pPr>
      <w:r w:rsidRPr="00DE5DE1">
        <w:rPr>
          <w:rFonts w:ascii="Garamond" w:hAnsi="Garamond"/>
        </w:rPr>
        <w:t>Pályázati azonosító:</w:t>
      </w:r>
      <w:r w:rsidR="00BC49B7">
        <w:rPr>
          <w:rFonts w:ascii="Garamond" w:hAnsi="Garamond"/>
        </w:rPr>
        <w:t xml:space="preserve">  </w:t>
      </w:r>
      <w:permStart w:id="408556618" w:edGrp="everyone"/>
      <w:r w:rsidR="00812043">
        <w:rPr>
          <w:rFonts w:ascii="Garamond" w:hAnsi="Garamond"/>
        </w:rPr>
        <w:t>…………………………………..</w:t>
      </w:r>
      <w:r w:rsidR="00BC49B7">
        <w:rPr>
          <w:rFonts w:ascii="Garamond" w:hAnsi="Garamond"/>
        </w:rPr>
        <w:t>…</w:t>
      </w:r>
      <w:bookmarkStart w:id="0" w:name="_GoBack"/>
      <w:bookmarkEnd w:id="0"/>
      <w:permEnd w:id="408556618"/>
    </w:p>
    <w:p w:rsidR="009B6A65" w:rsidRPr="009B6A65" w:rsidRDefault="009B6A65" w:rsidP="009B6A6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B6A6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B6A65" w:rsidRDefault="006A5C35" w:rsidP="009B6A6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B6A65" w:rsidRPr="009B6A65">
        <w:rPr>
          <w:rFonts w:ascii="Garamond" w:hAnsi="Garamond"/>
          <w:b/>
          <w:bCs/>
          <w:sz w:val="24"/>
          <w:szCs w:val="24"/>
        </w:rPr>
        <w:t xml:space="preserve"> </w:t>
      </w:r>
      <w:r w:rsidR="009B6A65" w:rsidRPr="00466603">
        <w:rPr>
          <w:rFonts w:ascii="Garamond" w:hAnsi="Garamond"/>
          <w:b/>
          <w:bCs/>
          <w:sz w:val="24"/>
          <w:szCs w:val="24"/>
        </w:rPr>
        <w:t>„</w:t>
      </w:r>
      <w:r w:rsidR="00466603">
        <w:rPr>
          <w:rFonts w:ascii="Garamond" w:hAnsi="Garamond"/>
          <w:b/>
          <w:bCs/>
          <w:sz w:val="24"/>
          <w:szCs w:val="24"/>
        </w:rPr>
        <w:t>Hazai vállalkozások exportorientációjú K+F tevékenységének támogatása</w:t>
      </w:r>
      <w:r w:rsidR="009B6A65" w:rsidRPr="00466603">
        <w:rPr>
          <w:rFonts w:ascii="Garamond" w:hAnsi="Garamond"/>
          <w:b/>
          <w:bCs/>
          <w:sz w:val="24"/>
          <w:szCs w:val="24"/>
        </w:rPr>
        <w:t>”</w:t>
      </w:r>
      <w:r w:rsidR="003569C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>
        <w:rPr>
          <w:rFonts w:ascii="Garamond" w:hAnsi="Garamond"/>
          <w:b/>
          <w:bCs/>
          <w:sz w:val="24"/>
          <w:szCs w:val="24"/>
        </w:rPr>
        <w:t>t</w:t>
      </w:r>
      <w:r w:rsidR="003569C6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FC7409" w:rsidRDefault="00FE267A" w:rsidP="00FE267A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</w:t>
      </w:r>
      <w:r w:rsidR="003769F5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3769F5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támogatási szerződés 1. mellékletét képező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támogatási kérelemben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tett nyilatkozat helyett jelen nyilatkozatot veszi figyelembe.  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57EE7" w:rsidRPr="00FC7409" w:rsidRDefault="00A57EE7" w:rsidP="00A57EE7">
      <w:pPr>
        <w:pStyle w:val="Listaszerbekezds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pályázatunk szerinti projektre (a továbbiakban: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FC7409" w:rsidRDefault="00A57EE7" w:rsidP="00A57EE7">
      <w:pPr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 w:rsidRP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</w:t>
      </w:r>
      <w:r w:rsidR="00805DC0" w:rsidRPr="00466603">
        <w:rPr>
          <w:rFonts w:ascii="Garamond" w:eastAsia="Times New Roman" w:hAnsi="Garamond" w:cs="Times New Roman"/>
          <w:sz w:val="24"/>
          <w:szCs w:val="24"/>
          <w:lang w:eastAsia="hu-HU"/>
        </w:rPr>
        <w:t>döntés dátumát</w:t>
      </w:r>
      <w:r w:rsidRP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megelőzően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FC7409" w:rsidRDefault="00FE267A" w:rsidP="00FE267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D8750A" w:rsidP="003569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útmutató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7.3</w:t>
      </w:r>
      <w:r w:rsidRPr="00466603">
        <w:rPr>
          <w:rFonts w:ascii="Garamond" w:eastAsia="Times New Roman" w:hAnsi="Garamond" w:cs="Times New Roman"/>
          <w:sz w:val="24"/>
          <w:szCs w:val="24"/>
          <w:lang w:eastAsia="hu-HU"/>
        </w:rPr>
        <w:t>. pontjában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megfogalmazott kizáró okok nem állnak fent velünk szemben.</w:t>
      </w:r>
    </w:p>
    <w:p w:rsidR="00D8750A" w:rsidRPr="00D8750A" w:rsidRDefault="00D8750A" w:rsidP="00D8750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422C9" w:rsidRPr="00F26B5A" w:rsidRDefault="00A425DD" w:rsidP="00A425DD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425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Hozzájárulunk ahhoz, hogy a köztartozások – az államháztartásról szóló 2011. évi CXCV. törvény (a továbbiakban Áht.) 50.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Államkincstár felhasználja a lejárt köztartozások teljesítése,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8A51C4" w:rsidRDefault="00C422C9" w:rsidP="00C422C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A425DD" w:rsidRDefault="00C422C9" w:rsidP="00A425D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az Áht. 51.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bekezdése, továbbá az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90.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amennyiben az Európai Unió közvetlenül alkalmazandó jogi aktusa eltérően nem rendelkezik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Default="00C422C9" w:rsidP="00A425D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tudomással bírunk arról, hogy a támogatást nyújtó az Áht. 50. § (1) bekezdés c) pontjában meghatározott feltétel ellenőrzése céljából a támogatás folyósításától számított </w:t>
      </w:r>
      <w:r w:rsidR="001E022B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FC7409" w:rsidRDefault="00357B3C" w:rsidP="00391767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16349E" w:rsidP="00357B3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Default="00284B69" w:rsidP="00284B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365A" w:rsidRPr="00FC7409" w:rsidRDefault="009F365A" w:rsidP="009F365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alá tartozó, egyénként 500 000 eurónak megfelelő forintösszeget meghaladó egyedi támogatásokról a 651/2014/EU bizottsági rendelet 9. cikke szerinti közzététel céljából.</w:t>
      </w:r>
      <w:r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FC7409" w:rsidRDefault="00357B3C" w:rsidP="00391767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Default="00A57EE7" w:rsidP="00020E6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 és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Default="00020E60" w:rsidP="00020E60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Pr="00F26B5A" w:rsidRDefault="00020E60" w:rsidP="00020E6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8A51C4" w:rsidRDefault="00020E60" w:rsidP="00020E6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986E9B" w:rsidRDefault="00020E60" w:rsidP="00986E9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történik.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140DDB" w:rsidRPr="00140DDB" w:rsidRDefault="00140DDB" w:rsidP="00140DDB">
      <w:pPr>
        <w:pStyle w:val="Listaszerbekezds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213DC" w:rsidRPr="00466603" w:rsidRDefault="00B213DC" w:rsidP="00466603">
      <w:pPr>
        <w:pStyle w:val="Listaszerbekezds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 megvalósításához szükséges saját </w:t>
      </w:r>
      <w:proofErr w:type="gramStart"/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>forrás rendelkezés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proofErr w:type="gramEnd"/>
      <w:r w:rsidRPr="00B213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áll.</w:t>
      </w:r>
      <w:r w:rsidR="00805DC0" w:rsidRPr="00805DC0">
        <w:t xml:space="preserve"> </w:t>
      </w:r>
    </w:p>
    <w:p w:rsidR="00466603" w:rsidRPr="00466603" w:rsidRDefault="00466603" w:rsidP="00466603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0DDB" w:rsidRPr="00140DDB" w:rsidRDefault="00140DDB" w:rsidP="001A3A5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>ámogatási szerződés időbeli hatálya alatt. Tudomásul vesszük, hogy az esetlegesen bekövetkezett károkból eredő anyagi és egyéb következmények bennünket terhelnek.</w:t>
      </w:r>
    </w:p>
    <w:p w:rsidR="00FE267A" w:rsidRPr="00FC7409" w:rsidRDefault="00FE267A" w:rsidP="009B6A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permStart w:id="410147262" w:edGrp="everyone"/>
      <w:r w:rsidRPr="00FC7409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megvalósításához nem szükséges hatósági engedély.</w:t>
      </w:r>
      <w:permEnd w:id="410147262"/>
    </w:p>
    <w:p w:rsidR="00FE267A" w:rsidRPr="00FC7409" w:rsidRDefault="00FE267A" w:rsidP="00FE267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FC7409" w:rsidRDefault="00FE267A" w:rsidP="00FE26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95167806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FE26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nincs.</w:t>
      </w:r>
    </w:p>
    <w:permEnd w:id="95167806"/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</w:p>
    <w:p w:rsidR="00FE267A" w:rsidRPr="00FC7409" w:rsidRDefault="00FE267A" w:rsidP="00FE267A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261784167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FE267A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folytat.</w:t>
      </w:r>
      <w:permEnd w:id="1261784167"/>
    </w:p>
    <w:p w:rsidR="00FE267A" w:rsidRPr="00FC7409" w:rsidRDefault="00FE267A" w:rsidP="00FE267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kötelezően megvalósítandó tevékenységek elvégzését vállaljuk.</w:t>
      </w: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</w:p>
    <w:p w:rsidR="00306D29" w:rsidRPr="00FC7409" w:rsidRDefault="00306D29" w:rsidP="00306D2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az Áht. 1.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(1) bekezdés b) alpontja szerint átlátható szervezetnek minősülünk. A pályázathoz csatolt átláthatósági nyilatkozat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foglaltak </w:t>
      </w:r>
      <w:r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306D29" w:rsidRPr="00FC7409" w:rsidRDefault="00306D29" w:rsidP="00306D2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90315663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változtak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06D29" w:rsidRPr="00FC7409" w:rsidRDefault="00306D29" w:rsidP="00306D2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változtak.</w:t>
      </w:r>
      <w:permEnd w:id="90315663"/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Amennyiben az átláthatósági nyilatkozatban foglaltakban változás következett be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, az átláthatósági nyilatkozatunkat az EPTK rendszerben újból rögzítjük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Kijelentjük, hogy kötelezően tett vállalások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vállalt indikátorok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értéke valós adatok alapján került feltüntetésre a pályázat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pályázatunk tárgyában </w:t>
      </w:r>
      <w:r w:rsidR="000047E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– a pályázatban megjelölt nemzetközi projekt kivételével –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igényt korábban vagy a pályázatunk benyújtásával egyidejűleg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6B6A62" w:rsidRPr="00FC7409" w:rsidRDefault="006B6A62" w:rsidP="006B6A62">
      <w:pPr>
        <w:pStyle w:val="Listaszerbekezds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389824148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FC7409" w:rsidRDefault="006B6A62" w:rsidP="006B6A62">
      <w:pPr>
        <w:pStyle w:val="Listaszerbekezds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  <w:permEnd w:id="1389824148"/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</w:t>
      </w:r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evezése</w:t>
      </w:r>
      <w:proofErr w:type="gramStart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1151667522" w:edGrp="everyone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</w:t>
      </w:r>
      <w:permEnd w:id="1151667522"/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benyújtásának időpontja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630915826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</w:t>
      </w:r>
      <w:permEnd w:id="630915826"/>
    </w:p>
    <w:p w:rsidR="006B6A62" w:rsidRPr="00FC7409" w:rsidRDefault="006B6A62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FE267A" w:rsidP="00F26B5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 odaítélésének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évében, valamint a megelőző </w:t>
      </w:r>
      <w:r w:rsidR="00C470AB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évben csekély összegű (</w:t>
      </w:r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„de </w:t>
      </w:r>
      <w:proofErr w:type="spellStart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minimis</w:t>
      </w:r>
      <w:proofErr w:type="spellEnd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”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támogatást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részünkre, 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velünk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az Európai Unió működéséről szóló szerződés 107. és 108. cikkének a csekély összegű támogatásokra való alkalmazásáról szóló 2013. december 18-i 1407/2013/EU bizottsági rendelet 2. cikk 2. pon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tjában megjelölt kapcsolatban álló vállalkozáso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</w:t>
      </w:r>
      <w:r w:rsidR="00D70DBB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8"/>
      </w:r>
      <w:r w:rsidR="005D28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>részé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9"/>
      </w:r>
    </w:p>
    <w:p w:rsidR="00FE267A" w:rsidRPr="00FC7409" w:rsidRDefault="00FE267A" w:rsidP="002B79F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592735059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ítéltek meg, továbbá nincs folyamatban ilyen támogatás iránti kérelem elbírálása.</w:t>
      </w:r>
    </w:p>
    <w:p w:rsidR="003569C6" w:rsidRDefault="00FE267A" w:rsidP="003569C6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kizárólag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alábbiak szerint ítéltek meg vagy 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van ilyen támogatás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igénylése </w:t>
      </w:r>
      <w:proofErr w:type="gramStart"/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folyamatban</w:t>
      </w:r>
      <w:r w:rsidR="00B45BD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0"/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proofErr w:type="gramEnd"/>
    </w:p>
    <w:permEnd w:id="1592735059"/>
    <w:p w:rsidR="00342B7C" w:rsidRDefault="00342B7C" w:rsidP="00342B7C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2B7C" w:rsidRDefault="00342B7C" w:rsidP="00342B7C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2B7C" w:rsidRDefault="00342B7C" w:rsidP="00342B7C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2B7C" w:rsidRDefault="00342B7C" w:rsidP="00342B7C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72654" w:rsidRDefault="00C72654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</w:p>
    <w:p w:rsidR="003569C6" w:rsidRDefault="003569C6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lastRenderedPageBreak/>
        <w:t>Megítélt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82729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Megítélés időpontja (</w:t>
            </w:r>
            <w:proofErr w:type="spellStart"/>
            <w:r w:rsidRPr="00B45BD5">
              <w:rPr>
                <w:rFonts w:ascii="Garamond" w:hAnsi="Garamond"/>
              </w:rPr>
              <w:t>év</w:t>
            </w:r>
            <w:proofErr w:type="gramStart"/>
            <w:r w:rsidRPr="00B45BD5">
              <w:rPr>
                <w:rFonts w:ascii="Garamond" w:hAnsi="Garamond"/>
              </w:rPr>
              <w:t>.hó</w:t>
            </w:r>
            <w:proofErr w:type="gramEnd"/>
            <w:r w:rsidRPr="00B45BD5">
              <w:rPr>
                <w:rFonts w:ascii="Garamond" w:hAnsi="Garamond"/>
              </w:rPr>
              <w:t>.nap</w:t>
            </w:r>
            <w:proofErr w:type="spellEnd"/>
            <w:r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D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permStart w:id="2122911120" w:edGrp="everyone"/>
            <w:r w:rsidRPr="00B8272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F365A" w:rsidRDefault="009F365A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</w:p>
    <w:p w:rsidR="00C72654" w:rsidRDefault="00C72654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</w:p>
    <w:permEnd w:id="2122911120"/>
    <w:p w:rsidR="003569C6" w:rsidRPr="00B82729" w:rsidRDefault="003569C6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t>Igényelt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45BD5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Elbírálás várható</w:t>
            </w:r>
            <w:r w:rsidR="00B45BD5" w:rsidRPr="00B45BD5">
              <w:rPr>
                <w:rFonts w:ascii="Garamond" w:hAnsi="Garamond"/>
              </w:rPr>
              <w:t xml:space="preserve"> időpontja (</w:t>
            </w:r>
            <w:proofErr w:type="spellStart"/>
            <w:r w:rsidR="00B45BD5" w:rsidRPr="00B45BD5">
              <w:rPr>
                <w:rFonts w:ascii="Garamond" w:hAnsi="Garamond"/>
              </w:rPr>
              <w:t>év</w:t>
            </w:r>
            <w:proofErr w:type="gramStart"/>
            <w:r w:rsidR="00B45BD5" w:rsidRPr="00B45BD5">
              <w:rPr>
                <w:rFonts w:ascii="Garamond" w:hAnsi="Garamond"/>
              </w:rPr>
              <w:t>.hó</w:t>
            </w:r>
            <w:proofErr w:type="gramEnd"/>
            <w:r w:rsidR="00B45BD5" w:rsidRPr="00B45BD5">
              <w:rPr>
                <w:rFonts w:ascii="Garamond" w:hAnsi="Garamond"/>
              </w:rPr>
              <w:t>.nap</w:t>
            </w:r>
            <w:proofErr w:type="spellEnd"/>
            <w:r w:rsidR="00B45BD5"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Igényelt</w:t>
            </w:r>
            <w:r w:rsidR="00B45BD5" w:rsidRPr="00B45BD5">
              <w:rPr>
                <w:rFonts w:ascii="Garamond" w:hAnsi="Garamond"/>
              </w:rPr>
              <w:t xml:space="preserve"> támogatás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Igényelt támogatás </w:t>
            </w:r>
            <w:r w:rsidR="00B45BD5"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20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permStart w:id="1626832022" w:edGrp="everyone"/>
            <w:r w:rsidRPr="00B45BD5">
              <w:rPr>
                <w:rFonts w:ascii="Garamond" w:hAnsi="Garamon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</w:tbl>
    <w:p w:rsidR="00C72654" w:rsidRDefault="00C72654" w:rsidP="002B79F5">
      <w:pPr>
        <w:jc w:val="center"/>
        <w:textAlignment w:val="baseline"/>
        <w:rPr>
          <w:rFonts w:ascii="Garamond" w:hAnsi="Garamond"/>
          <w:sz w:val="24"/>
          <w:szCs w:val="24"/>
        </w:rPr>
      </w:pPr>
    </w:p>
    <w:permEnd w:id="1626832022"/>
    <w:p w:rsidR="003569C6" w:rsidRPr="00FC7409" w:rsidRDefault="003569C6" w:rsidP="00FE267A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FE267A" w:rsidP="006B6A6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amennyiben az adatközlés</w:t>
      </w:r>
      <w:r w:rsidR="001C1565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466603">
        <w:rPr>
          <w:rFonts w:ascii="Garamond" w:eastAsia="Times New Roman" w:hAnsi="Garamond" w:cs="Times New Roman"/>
          <w:sz w:val="24"/>
          <w:szCs w:val="24"/>
          <w:lang w:eastAsia="hu-HU"/>
        </w:rPr>
        <w:t>23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1114319882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</w:t>
      </w:r>
      <w:permEnd w:id="1114319882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ermStart w:id="1756717048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</w:t>
      </w:r>
      <w:permEnd w:id="1756717048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 </w:t>
      </w:r>
      <w:permStart w:id="544020184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………………………..</w:t>
      </w:r>
      <w:permEnd w:id="544020184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 </w:t>
      </w:r>
      <w:permStart w:id="1184829669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…..</w:t>
      </w:r>
      <w:permEnd w:id="1184829669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……………………........................................</w:t>
      </w:r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ermStart w:id="1967291386" w:edGrp="everyone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…………………………………..</w:t>
      </w:r>
      <w:permEnd w:id="1967291386"/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411784788" w:edGrp="everyone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…………………………………..</w:t>
      </w:r>
      <w:permEnd w:id="411784788"/>
    </w:p>
    <w:p w:rsidR="00524039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1355612465" w:edGrp="everyone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="00BC49B7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…………………………………..</w:t>
      </w:r>
      <w:permEnd w:id="1355612465"/>
    </w:p>
    <w:p w:rsidR="00524039" w:rsidRPr="00FC7409" w:rsidRDefault="00524039" w:rsidP="008D70AE">
      <w:pPr>
        <w:spacing w:after="0" w:line="240" w:lineRule="auto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524039" w:rsidRPr="00FC7409" w:rsidRDefault="00524039" w:rsidP="008D70AE">
      <w:pPr>
        <w:spacing w:after="0" w:line="240" w:lineRule="auto"/>
        <w:rPr>
          <w:rFonts w:ascii="Garamond" w:eastAsia="Times New Roman" w:hAnsi="Garamond" w:cs="Verdana"/>
          <w:sz w:val="24"/>
          <w:szCs w:val="24"/>
          <w:lang w:eastAsia="hu-HU"/>
        </w:rPr>
      </w:pPr>
    </w:p>
    <w:sectPr w:rsidR="00524039" w:rsidRPr="00FC7409" w:rsidSect="00986E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9" w:rsidRDefault="00FC7409" w:rsidP="00FE267A">
      <w:pPr>
        <w:spacing w:after="0" w:line="240" w:lineRule="auto"/>
      </w:pPr>
      <w:r>
        <w:separator/>
      </w:r>
    </w:p>
  </w:endnote>
  <w:end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="Calibri" w:hAnsi="Garamond" w:cs="Times New Roman"/>
      </w:rPr>
      <w:id w:val="265589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1FBF" w:rsidRPr="00411FBF" w:rsidRDefault="00411FBF" w:rsidP="00411FBF">
        <w:pPr>
          <w:tabs>
            <w:tab w:val="center" w:pos="4536"/>
            <w:tab w:val="center" w:pos="9072"/>
          </w:tabs>
          <w:spacing w:after="0" w:line="240" w:lineRule="auto"/>
          <w:rPr>
            <w:rFonts w:ascii="Garamond" w:eastAsia="Calibri" w:hAnsi="Garamond" w:cs="Times New Roman"/>
            <w:b/>
            <w:bCs/>
            <w:sz w:val="20"/>
            <w:szCs w:val="20"/>
          </w:rPr>
        </w:pPr>
      </w:p>
      <w:p w:rsidR="00986E9B" w:rsidRPr="00411FBF" w:rsidRDefault="00411FBF" w:rsidP="00411FBF">
        <w:pPr>
          <w:pBdr>
            <w:top w:val="single" w:sz="4" w:space="9" w:color="auto"/>
          </w:pBdr>
          <w:tabs>
            <w:tab w:val="center" w:pos="9072"/>
          </w:tabs>
          <w:spacing w:after="0"/>
          <w:ind w:right="-2"/>
          <w:jc w:val="center"/>
          <w:rPr>
            <w:rFonts w:ascii="Calibri" w:eastAsia="Calibri" w:hAnsi="Calibri" w:cs="Times New Roman"/>
            <w:b/>
            <w:bCs/>
            <w:sz w:val="20"/>
            <w:szCs w:val="20"/>
          </w:rPr>
        </w:pPr>
        <w:r w:rsidRPr="00411FB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7456" behindDoc="0" locked="0" layoutInCell="1" allowOverlap="1" wp14:anchorId="2C50D0D3" wp14:editId="3367E7E6">
              <wp:simplePos x="0" y="0"/>
              <wp:positionH relativeFrom="margin">
                <wp:posOffset>4310380</wp:posOffset>
              </wp:positionH>
              <wp:positionV relativeFrom="paragraph">
                <wp:posOffset>16510</wp:posOffset>
              </wp:positionV>
              <wp:extent cx="1657350" cy="553298"/>
              <wp:effectExtent l="0" t="0" r="0" b="0"/>
              <wp:wrapNone/>
              <wp:docPr id="13" name="Kép 13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5532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PAGE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812043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5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411FBF">
          <w:rPr>
            <w:rFonts w:ascii="Garamond" w:eastAsia="Calibri" w:hAnsi="Garamond" w:cs="Times New Roman"/>
            <w:sz w:val="20"/>
            <w:szCs w:val="20"/>
          </w:rPr>
          <w:t xml:space="preserve"> (</w: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NUMPAGES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812043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5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411FBF">
          <w:rPr>
            <w:rFonts w:ascii="Calibri" w:eastAsia="Calibri" w:hAnsi="Calibri" w:cs="Times New Roman"/>
            <w:b/>
            <w:bCs/>
            <w:sz w:val="20"/>
            <w:szCs w:val="2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2991"/>
      <w:docPartObj>
        <w:docPartGallery w:val="Page Numbers (Bottom of Page)"/>
        <w:docPartUnique/>
      </w:docPartObj>
    </w:sdtPr>
    <w:sdtEndPr/>
    <w:sdtContent>
      <w:p w:rsidR="00E7059F" w:rsidRPr="00E7059F" w:rsidRDefault="00A0628E" w:rsidP="00986E9B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after="0" w:line="240" w:lineRule="auto"/>
        </w:pPr>
        <w:r w:rsidRPr="00E7059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1312" behindDoc="0" locked="0" layoutInCell="1" allowOverlap="1" wp14:anchorId="766EE5A5" wp14:editId="176CDB69">
              <wp:simplePos x="0" y="0"/>
              <wp:positionH relativeFrom="margin">
                <wp:posOffset>4156075</wp:posOffset>
              </wp:positionH>
              <wp:positionV relativeFrom="paragraph">
                <wp:posOffset>375920</wp:posOffset>
              </wp:positionV>
              <wp:extent cx="1664335" cy="555625"/>
              <wp:effectExtent l="0" t="0" r="0" b="0"/>
              <wp:wrapNone/>
              <wp:docPr id="12" name="Kép 12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433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7059F" w:rsidRPr="00E7059F" w:rsidRDefault="00812043" w:rsidP="00E7059F">
        <w:pPr>
          <w:tabs>
            <w:tab w:val="center" w:pos="4536"/>
            <w:tab w:val="right" w:pos="9072"/>
          </w:tabs>
          <w:spacing w:after="0" w:line="240" w:lineRule="auto"/>
          <w:jc w:val="center"/>
        </w:pPr>
        <w:sdt>
          <w:sdtPr>
            <w:id w:val="1279762346"/>
            <w:docPartObj>
              <w:docPartGallery w:val="Page Numbers (Bottom of Page)"/>
              <w:docPartUnique/>
            </w:docPartObj>
          </w:sdtPr>
          <w:sdtEndPr/>
          <w:sdtContent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PAGE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1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t xml:space="preserve"> (</w: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NUMPAGES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5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t>)</w:t>
            </w:r>
          </w:sdtContent>
        </w:sdt>
      </w:p>
      <w:p w:rsidR="00FC7409" w:rsidRDefault="00812043" w:rsidP="00E7059F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9" w:rsidRDefault="00FC7409" w:rsidP="00FE267A">
      <w:pPr>
        <w:spacing w:after="0" w:line="240" w:lineRule="auto"/>
      </w:pPr>
      <w:r>
        <w:separator/>
      </w:r>
    </w:p>
  </w:footnote>
  <w:foot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3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  <w:footnote w:id="8">
    <w:p w:rsidR="00D70DBB" w:rsidRPr="00D70DBB" w:rsidRDefault="00D70DBB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D70DBB">
        <w:rPr>
          <w:rFonts w:ascii="Garamond" w:hAnsi="Garamond"/>
          <w:sz w:val="22"/>
          <w:szCs w:val="22"/>
        </w:rPr>
        <w:t>Az Európai Unió működéséről szóló szerződés 107. és 108. cikkének a csekély összegű támogatásokra való alkalmazásáról szóló 2013. december 18-i 1407/2013/</w:t>
      </w:r>
      <w:r w:rsidR="00F26B5A">
        <w:rPr>
          <w:rFonts w:ascii="Garamond" w:hAnsi="Garamond"/>
          <w:sz w:val="22"/>
          <w:szCs w:val="22"/>
        </w:rPr>
        <w:t>EU bizottsági rendelet 2. cikk 2. pontja</w:t>
      </w:r>
      <w:r w:rsidRPr="00D70DBB">
        <w:rPr>
          <w:rFonts w:ascii="Garamond" w:hAnsi="Garamond"/>
          <w:sz w:val="22"/>
          <w:szCs w:val="22"/>
        </w:rPr>
        <w:t xml:space="preserve"> szerint egy és ugyanazon vállalkozásnak kell tekinteni valamennyi váll</w:t>
      </w:r>
      <w:r>
        <w:rPr>
          <w:rFonts w:ascii="Garamond" w:hAnsi="Garamond"/>
          <w:sz w:val="22"/>
          <w:szCs w:val="22"/>
        </w:rPr>
        <w:t>al</w:t>
      </w:r>
      <w:r w:rsidRPr="00D70DBB">
        <w:rPr>
          <w:rFonts w:ascii="Garamond" w:hAnsi="Garamond"/>
          <w:sz w:val="22"/>
          <w:szCs w:val="22"/>
        </w:rPr>
        <w:t>kozás</w:t>
      </w:r>
      <w:r>
        <w:rPr>
          <w:rFonts w:ascii="Garamond" w:hAnsi="Garamond"/>
          <w:sz w:val="22"/>
          <w:szCs w:val="22"/>
        </w:rPr>
        <w:t>t</w:t>
      </w:r>
      <w:r w:rsidRPr="00D70DBB">
        <w:rPr>
          <w:rFonts w:ascii="Garamond" w:hAnsi="Garamond"/>
          <w:sz w:val="22"/>
          <w:szCs w:val="22"/>
        </w:rPr>
        <w:t>, amelyek között az alábbi kapcsolatok legalább egyike fennáll: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D70DBB">
        <w:rPr>
          <w:rFonts w:ascii="Garamond" w:hAnsi="Garamond"/>
          <w:sz w:val="22"/>
          <w:szCs w:val="22"/>
        </w:rPr>
        <w:t>a</w:t>
      </w:r>
      <w:proofErr w:type="gramEnd"/>
      <w:r w:rsidRPr="00D70DBB">
        <w:rPr>
          <w:rFonts w:ascii="Garamond" w:hAnsi="Garamond"/>
          <w:sz w:val="22"/>
          <w:szCs w:val="22"/>
        </w:rPr>
        <w:t>) valamely vállalkozás rendelkezik egy másik vállalkozás részvényesei vagy tagjai szavazati jogának többségével;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b) valamely vállalkozás jogosult kinevezni vagy elmozdítani egy másik </w:t>
      </w:r>
      <w:proofErr w:type="gramStart"/>
      <w:r w:rsidRPr="00D70DBB">
        <w:rPr>
          <w:rFonts w:ascii="Garamond" w:hAnsi="Garamond"/>
          <w:sz w:val="22"/>
          <w:szCs w:val="22"/>
        </w:rPr>
        <w:t>vállalkozás igazgatási-</w:t>
      </w:r>
      <w:proofErr w:type="gramEnd"/>
      <w:r w:rsidRPr="00D70DBB">
        <w:rPr>
          <w:rFonts w:ascii="Garamond" w:hAnsi="Garamond"/>
          <w:sz w:val="22"/>
          <w:szCs w:val="22"/>
        </w:rPr>
        <w:t>, irányítási- vagy felügyeleti testülete tagjainak többségét;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:rsidR="00D70DBB" w:rsidRPr="00D70DBB" w:rsidRDefault="00D70DBB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Az első </w:t>
      </w:r>
      <w:proofErr w:type="spellStart"/>
      <w:r w:rsidRPr="00D70DBB">
        <w:rPr>
          <w:rFonts w:ascii="Garamond" w:hAnsi="Garamond"/>
          <w:sz w:val="22"/>
          <w:szCs w:val="22"/>
        </w:rPr>
        <w:t>albekezdés</w:t>
      </w:r>
      <w:proofErr w:type="spellEnd"/>
      <w:r w:rsidRPr="00D70DBB">
        <w:rPr>
          <w:rFonts w:ascii="Garamond" w:hAnsi="Garamond"/>
          <w:sz w:val="22"/>
          <w:szCs w:val="22"/>
        </w:rPr>
        <w:t xml:space="preserve"> a)</w:t>
      </w:r>
      <w:proofErr w:type="spellStart"/>
      <w:r w:rsidRPr="00D70DBB">
        <w:rPr>
          <w:rFonts w:ascii="Garamond" w:hAnsi="Garamond"/>
          <w:sz w:val="22"/>
          <w:szCs w:val="22"/>
        </w:rPr>
        <w:t>-d</w:t>
      </w:r>
      <w:proofErr w:type="spellEnd"/>
      <w:r w:rsidRPr="00D70DBB">
        <w:rPr>
          <w:rFonts w:ascii="Garamond" w:hAnsi="Garamond"/>
          <w:sz w:val="22"/>
          <w:szCs w:val="22"/>
        </w:rPr>
        <w:t>) pontjában említett kapcsolatok bármelyikével egy vagy több másik vállalkozáson keresztül rendelkező vállalkozásokat is egy és ugyanazon vállalkozásnak kell tekinteni.</w:t>
      </w:r>
    </w:p>
  </w:footnote>
  <w:footnote w:id="9">
    <w:p w:rsidR="00FC7409" w:rsidRPr="00B45BD5" w:rsidRDefault="00FC7409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B45BD5">
        <w:rPr>
          <w:rStyle w:val="Lbjegyzet-hivatkozs"/>
          <w:rFonts w:ascii="Garamond" w:hAnsi="Garamond"/>
          <w:sz w:val="22"/>
          <w:szCs w:val="22"/>
        </w:rPr>
        <w:footnoteRef/>
      </w:r>
      <w:r w:rsidRPr="00B45BD5">
        <w:rPr>
          <w:rFonts w:ascii="Garamond" w:hAnsi="Garamond"/>
          <w:sz w:val="22"/>
          <w:szCs w:val="22"/>
        </w:rPr>
        <w:t xml:space="preserve"> A megfelelő aláhúzandó. </w:t>
      </w:r>
    </w:p>
  </w:footnote>
  <w:footnote w:id="10">
    <w:p w:rsidR="00B45BD5" w:rsidRPr="00B45BD5" w:rsidRDefault="00B45BD5" w:rsidP="00C72654">
      <w:pPr>
        <w:pStyle w:val="Lbjegyzetszveg"/>
        <w:jc w:val="both"/>
        <w:rPr>
          <w:rStyle w:val="Lbjegyzet-hivatkozs"/>
          <w:rFonts w:ascii="Garamond" w:hAnsi="Garamond"/>
          <w:sz w:val="22"/>
          <w:szCs w:val="22"/>
          <w:vertAlign w:val="baseline"/>
        </w:rPr>
      </w:pPr>
      <w:r w:rsidRPr="00BF0FC1">
        <w:rPr>
          <w:rStyle w:val="Lbjegyzet-hivatkozs"/>
          <w:rFonts w:ascii="Garamond" w:hAnsi="Garamond"/>
          <w:vertAlign w:val="baseline"/>
        </w:rPr>
        <w:footnoteRef/>
      </w:r>
      <w:r w:rsidRPr="00B45BD5">
        <w:rPr>
          <w:rStyle w:val="Lbjegyzet-hivatkozs"/>
          <w:rFonts w:ascii="Garamond" w:hAnsi="Garamond"/>
          <w:sz w:val="22"/>
          <w:szCs w:val="22"/>
          <w:vertAlign w:val="baseline"/>
        </w:rPr>
        <w:t xml:space="preserve"> </w:t>
      </w:r>
      <w:r w:rsidR="00BF0FC1" w:rsidRPr="00BF0FC1">
        <w:rPr>
          <w:rFonts w:ascii="Garamond" w:hAnsi="Garamond"/>
          <w:sz w:val="22"/>
          <w:szCs w:val="22"/>
        </w:rPr>
        <w:t>Ebben az esetben az alábbi táblázatok kitöltendők</w:t>
      </w:r>
      <w:r w:rsidRPr="00BF0FC1">
        <w:rPr>
          <w:rStyle w:val="Lbjegyzet-hivatkozs"/>
          <w:rFonts w:ascii="Garamond" w:hAnsi="Garamond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F" w:rsidRPr="00E7059F" w:rsidRDefault="00E7059F" w:rsidP="00E7059F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E7059F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6AA7461F" wp14:editId="2E39F74B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59F" w:rsidRPr="00E7059F" w:rsidRDefault="00E7059F" w:rsidP="00E7059F">
    <w:pPr>
      <w:pBdr>
        <w:bottom w:val="single" w:sz="4" w:space="15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:rsidR="00E7059F" w:rsidRDefault="00E705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Default="009B6A65" w:rsidP="009B6A65">
    <w:pPr>
      <w:tabs>
        <w:tab w:val="left" w:pos="990"/>
      </w:tabs>
      <w:rPr>
        <w:rFonts w:ascii="Garamond" w:hAnsi="Garamond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1A5BB2" wp14:editId="653C8218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A65" w:rsidRDefault="009B6A65" w:rsidP="009B6A65">
    <w:pPr>
      <w:tabs>
        <w:tab w:val="left" w:pos="990"/>
      </w:tabs>
      <w:rPr>
        <w:rFonts w:ascii="Garamond" w:hAnsi="Garamond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after="0" w:line="120" w:lineRule="auto"/>
      <w:jc w:val="right"/>
      <w:rPr>
        <w:rFonts w:ascii="Calibri" w:eastAsia="Calibri" w:hAnsi="Calibri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right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LwHicYnSLw+d83EvIaWg9Mr+xo=" w:salt="4atEg1F1xyDn7d/GjnQJh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40DDB"/>
    <w:rsid w:val="0016349E"/>
    <w:rsid w:val="00182CBD"/>
    <w:rsid w:val="0019742F"/>
    <w:rsid w:val="001A3A51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73EA"/>
    <w:rsid w:val="002E516C"/>
    <w:rsid w:val="00306D29"/>
    <w:rsid w:val="00313389"/>
    <w:rsid w:val="0032383B"/>
    <w:rsid w:val="00342B7C"/>
    <w:rsid w:val="003569C6"/>
    <w:rsid w:val="00357B3C"/>
    <w:rsid w:val="003769F5"/>
    <w:rsid w:val="00391767"/>
    <w:rsid w:val="00395ABB"/>
    <w:rsid w:val="003E48E2"/>
    <w:rsid w:val="003E62BD"/>
    <w:rsid w:val="003F0158"/>
    <w:rsid w:val="00411FBF"/>
    <w:rsid w:val="0042403D"/>
    <w:rsid w:val="00437B5C"/>
    <w:rsid w:val="00466603"/>
    <w:rsid w:val="0046715B"/>
    <w:rsid w:val="00495C7A"/>
    <w:rsid w:val="00522061"/>
    <w:rsid w:val="00524039"/>
    <w:rsid w:val="005658F5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735A80"/>
    <w:rsid w:val="00741FDE"/>
    <w:rsid w:val="00753A3C"/>
    <w:rsid w:val="007917CA"/>
    <w:rsid w:val="00805DC0"/>
    <w:rsid w:val="00812043"/>
    <w:rsid w:val="00846610"/>
    <w:rsid w:val="008574A3"/>
    <w:rsid w:val="00870895"/>
    <w:rsid w:val="00885E4B"/>
    <w:rsid w:val="00895146"/>
    <w:rsid w:val="008A51C4"/>
    <w:rsid w:val="008C4663"/>
    <w:rsid w:val="008D1E50"/>
    <w:rsid w:val="008D70AE"/>
    <w:rsid w:val="00925C5F"/>
    <w:rsid w:val="0092785E"/>
    <w:rsid w:val="00933D6A"/>
    <w:rsid w:val="0096756E"/>
    <w:rsid w:val="00986E9B"/>
    <w:rsid w:val="009B6A65"/>
    <w:rsid w:val="009F365A"/>
    <w:rsid w:val="00A05B9F"/>
    <w:rsid w:val="00A0628E"/>
    <w:rsid w:val="00A40C52"/>
    <w:rsid w:val="00A425DD"/>
    <w:rsid w:val="00A57EE7"/>
    <w:rsid w:val="00A746ED"/>
    <w:rsid w:val="00A76869"/>
    <w:rsid w:val="00A81820"/>
    <w:rsid w:val="00AB2B84"/>
    <w:rsid w:val="00AB4ADD"/>
    <w:rsid w:val="00AF4B6F"/>
    <w:rsid w:val="00B213DC"/>
    <w:rsid w:val="00B45257"/>
    <w:rsid w:val="00B45BD5"/>
    <w:rsid w:val="00B57543"/>
    <w:rsid w:val="00BB5F56"/>
    <w:rsid w:val="00BB6289"/>
    <w:rsid w:val="00BC1A41"/>
    <w:rsid w:val="00BC49B7"/>
    <w:rsid w:val="00BE7894"/>
    <w:rsid w:val="00BF0FC1"/>
    <w:rsid w:val="00C422C9"/>
    <w:rsid w:val="00C470AB"/>
    <w:rsid w:val="00C55921"/>
    <w:rsid w:val="00C72654"/>
    <w:rsid w:val="00CB0D00"/>
    <w:rsid w:val="00CB7612"/>
    <w:rsid w:val="00CC0FE0"/>
    <w:rsid w:val="00CE49EC"/>
    <w:rsid w:val="00D017AF"/>
    <w:rsid w:val="00D21684"/>
    <w:rsid w:val="00D260F8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2FCE-66EF-40E0-AE00-15BDC3E0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1404</Words>
  <Characters>9694</Characters>
  <Application>Microsoft Office Word</Application>
  <DocSecurity>8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Kaiser Szilvia</cp:lastModifiedBy>
  <cp:revision>5</cp:revision>
  <cp:lastPrinted>2017-02-28T14:58:00Z</cp:lastPrinted>
  <dcterms:created xsi:type="dcterms:W3CDTF">2017-07-18T11:43:00Z</dcterms:created>
  <dcterms:modified xsi:type="dcterms:W3CDTF">2017-10-30T09:24:00Z</dcterms:modified>
</cp:coreProperties>
</file>