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&#65279;<?xml version="1.0" encoding="UTF-8" standalone="yes"?><Relationships xmlns="http://schemas.openxmlformats.org/package/2006/relationships"><Relationship Id="rId2" Type="http://schemas.openxmlformats.org/package/2006/relationships/metadata/core-properties" Target="docProps/core.xml" /><Relationship Id="rId4" Type="http://schemas.openxmlformats.org/officeDocument/2006/relationships/custom-properties" Target="docProps/custom.xml" /><Relationship Id="rId3" Type="http://schemas.openxmlformats.org/officeDocument/2006/relationships/extended-properties" Target="docProps/app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body>
    <w:p>
      <w:pPr>
        <w:jc w:val="center"/>
        <w:rPr>
          <w:rFonts w:ascii="Arial" w:hAnsi="Arial" w:cs="Arial"/>
          <w:b/>
          <w:bCs/>
          <w:sz w:val="20"/>
          <w:szCs w:val="20"/>
        </w:rPr>
      </w:pPr>
    </w:p>
    <w:p>
      <w:pPr>
        <w:jc w:val="center"/>
        <w:rPr>
          <w:rFonts w:ascii="Garamond" w:hAnsi="Garamond" w:cs="Arial"/>
          <w:b/>
          <w:bCs/>
        </w:rPr>
      </w:pPr>
      <w:r>
        <w:rPr>
          <w:rFonts w:ascii="Garamond" w:hAnsi="Garamond" w:cs="Arial"/>
          <w:b/>
          <w:bCs/>
        </w:rPr>
        <w:t>FIZETÉSI BANKGARANCIA NYILATKOZAT</w:t>
      </w:r>
    </w:p>
    <w:p>
      <w:pPr>
        <w:jc w:val="both"/>
        <w:rPr>
          <w:rFonts w:ascii="Garamond" w:hAnsi="Garamond" w:cs="Arial"/>
        </w:rPr>
      </w:pPr>
    </w:p>
    <w:p>
      <w:pPr>
        <w:jc w:val="both"/>
        <w:rPr>
          <w:rFonts w:ascii="Garamond" w:hAnsi="Garamond" w:cs="Arial"/>
        </w:rPr>
      </w:pPr>
    </w:p>
    <w:p>
      <w:pPr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Garancia jogosultja:</w:t>
      </w:r>
    </w:p>
    <w:tbl>
      <w:tblPr>
        <w:tblW w:w="9567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left w:w="70" w:type="dxa"/>
          <w:right w:w="70" w:type="dxa"/>
        </w:tblCellMar>
        <w:tblLook w:firstRow="0" w:lastRow="0" w:firstColumn="0" w:lastColumn="0" w:noHBand="0" w:noVBand="0" w:val="0000"/>
      </w:tblPr>
      <w:tblGrid>
        <w:gridCol w:w="9567"/>
      </w:tblGrid>
      <w:tr>
        <w:trPr>
          <w:cnfStyle w:val="000000000000"/>
        </w:trPr>
        <w:tc>
          <w:tcPr>
            <w:cnfStyle w:val="000000000000"/>
            <w:tcW w:w="6662" w:type="dxa"/>
          </w:tcPr>
          <w:p>
            <w:pPr>
              <w:pStyle w:val="lfej"/>
              <w:jc w:val="both"/>
              <w:cnfStyle w:val="000000000000"/>
              <w:rPr>
                <w:rFonts w:ascii="Garamond" w:hAnsi="Garamond"/>
                <w:b/>
                <w:bCs/>
              </w:rPr>
            </w:pPr>
            <w:r>
              <w:rPr>
                <w:rFonts w:ascii="Garamond" w:hAnsi="Garamond"/>
                <w:b/>
                <w:bCs/>
              </w:rPr>
              <w:t>Gazdasági és Energetikai Minisztérium</w:t>
            </w:r>
          </w:p>
        </w:tc>
      </w:tr>
      <w:tr>
        <w:trPr>
          <w:cnfStyle w:val="000000000000"/>
        </w:trPr>
        <w:tc>
          <w:tcPr>
            <w:cnfStyle w:val="000000000000"/>
            <w:tcW w:w="6662" w:type="dxa"/>
          </w:tcPr>
          <w:p>
            <w:pPr>
              <w:jc w:val="both"/>
              <w:cnfStyle w:val="000000000000"/>
              <w:rPr>
                <w:rFonts w:ascii="Garamond" w:hAnsi="Garamond"/>
                <w:color w:val="000000"/>
              </w:rPr>
            </w:pPr>
            <w:r>
              <w:rPr>
                <w:rFonts w:ascii="Garamond" w:hAnsi="Garamond"/>
              </w:rPr>
              <w:t xml:space="preserve">székhely: </w:t>
            </w:r>
            <w:r>
              <w:rPr>
                <w:rFonts w:ascii="Garamond" w:hAnsi="Garamond"/>
                <w:color w:val="000000"/>
              </w:rPr>
              <w:t>1055 Budapest, Kossuth L. tér 2-4.</w:t>
            </w:r>
          </w:p>
          <w:p>
            <w:pPr>
              <w:jc w:val="both"/>
              <w:cnfStyle w:val="000000000000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postai cím: 1440 Budapest Pf. 1.</w:t>
            </w:r>
          </w:p>
        </w:tc>
      </w:tr>
      <w:tr>
        <w:trPr>
          <w:cnfStyle w:val="000000000000"/>
        </w:trPr>
        <w:tc>
          <w:tcPr>
            <w:cnfStyle w:val="000000000000"/>
            <w:tcW w:w="6662" w:type="dxa"/>
          </w:tcPr>
          <w:p>
            <w:pPr>
              <w:jc w:val="both"/>
              <w:cnfStyle w:val="000000000000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adószám: 15764412-2-41</w:t>
            </w:r>
          </w:p>
          <w:p>
            <w:pPr>
              <w:jc w:val="both"/>
              <w:cnfStyle w:val="000000000000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törzskönyvi azonosító szám (PIR): 764410</w:t>
            </w:r>
          </w:p>
          <w:p>
            <w:pPr>
              <w:jc w:val="both"/>
              <w:cnfStyle w:val="000000000000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bankszámlaszám: </w:t>
            </w:r>
            <w:r>
              <w:rPr>
                <w:rFonts w:ascii="Garamond" w:eastAsia="Calibri" w:hAnsi="Garamond"/>
              </w:rPr>
              <w:t>10032000-00290737-50000108</w:t>
            </w:r>
          </w:p>
          <w:p>
            <w:pPr>
              <w:jc w:val="both"/>
              <w:cnfStyle w:val="000000000000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ÁHT azonosító: </w:t>
            </w:r>
            <w:r>
              <w:rPr>
                <w:rFonts w:ascii="Garamond" w:hAnsi="Garamond"/>
                <w:lang w:eastAsia="ar-SA"/>
              </w:rPr>
              <w:t>407017</w:t>
            </w:r>
          </w:p>
          <w:p>
            <w:pPr>
              <w:jc w:val="both"/>
              <w:cnfStyle w:val="000000000000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számlavezető: Magyar Államkincstár </w:t>
            </w:r>
          </w:p>
        </w:tc>
      </w:tr>
    </w:tbl>
    <w:p>
      <w:pPr>
        <w:jc w:val="both"/>
        <w:rPr>
          <w:rFonts w:ascii="Garamond" w:hAnsi="Garamond" w:cs="Arial"/>
        </w:rPr>
      </w:pPr>
      <w:r>
        <w:rPr>
          <w:rFonts w:ascii="Garamond" w:hAnsi="Garamond" w:cs="Arial"/>
          <w:b/>
          <w:bCs/>
        </w:rPr>
        <w:t xml:space="preserve"> </w:t>
      </w:r>
      <w:r>
        <w:rPr>
          <w:rFonts w:ascii="Garamond" w:hAnsi="Garamond" w:cs="Arial"/>
        </w:rPr>
        <w:t>(a továbbiakban: Kedvezményezett)</w:t>
      </w:r>
    </w:p>
    <w:p>
      <w:pPr>
        <w:jc w:val="both"/>
        <w:rPr>
          <w:rFonts w:ascii="Garamond" w:hAnsi="Garamond" w:cs="Arial"/>
        </w:rPr>
      </w:pPr>
    </w:p>
    <w:p>
      <w:pPr>
        <w:jc w:val="both"/>
        <w:rPr>
          <w:rFonts w:ascii="Garamond" w:hAnsi="Garamond" w:cs="Arial"/>
        </w:rPr>
      </w:pPr>
    </w:p>
    <w:p>
      <w:pPr>
        <w:jc w:val="both"/>
        <w:rPr>
          <w:rFonts w:ascii="Garamond" w:hAnsi="Garamond" w:cs="Arial"/>
          <w:b/>
          <w:bCs/>
        </w:rPr>
      </w:pPr>
      <w:r>
        <w:rPr>
          <w:rFonts w:ascii="Garamond" w:hAnsi="Garamond" w:cs="Arial"/>
          <w:b/>
          <w:bCs/>
        </w:rPr>
        <w:t xml:space="preserve">Garancia nyilvántartási száma: </w:t>
      </w:r>
    </w:p>
    <w:p>
      <w:pPr>
        <w:jc w:val="both"/>
        <w:rPr>
          <w:rFonts w:ascii="Garamond" w:hAnsi="Garamond" w:cs="Arial"/>
          <w:b/>
          <w:bCs/>
        </w:rPr>
      </w:pPr>
    </w:p>
    <w:p>
      <w:pPr>
        <w:jc w:val="both"/>
        <w:rPr>
          <w:rFonts w:ascii="Garamond" w:hAnsi="Garamond" w:cs="Arial"/>
          <w:b/>
          <w:bCs/>
        </w:rPr>
      </w:pPr>
      <w:r>
        <w:rPr>
          <w:rFonts w:ascii="Garamond" w:hAnsi="Garamond" w:cs="Arial"/>
          <w:b/>
          <w:bCs/>
        </w:rPr>
        <w:t>Támogatói Okirat iktatószáma:</w:t>
      </w:r>
    </w:p>
    <w:p>
      <w:pPr>
        <w:jc w:val="both"/>
        <w:rPr>
          <w:rFonts w:ascii="Garamond" w:hAnsi="Garamond" w:cs="Arial"/>
          <w:b/>
          <w:bCs/>
        </w:rPr>
      </w:pPr>
      <w:r>
        <w:rPr>
          <w:rFonts w:ascii="Garamond" w:hAnsi="Garamond" w:cs="Arial"/>
          <w:b/>
          <w:bCs/>
        </w:rPr>
        <w:t xml:space="preserve">Kötelezettségvállalás azonosítója:  </w:t>
      </w:r>
    </w:p>
    <w:p>
      <w:pPr>
        <w:tabs>
          <w:tab w:pos="1210" w:val="left"/>
          <w:tab w:pos="2362" w:val="left"/>
          <w:tab w:pos="3514" w:val="left"/>
          <w:tab w:pos="4666" w:val="left"/>
          <w:tab w:pos="5818" w:val="left"/>
          <w:tab w:pos="6970" w:val="left"/>
          <w:tab w:pos="8122" w:val="left"/>
          <w:tab w:pos="9274" w:val="left"/>
        </w:tabs>
        <w:ind w:right="58"/>
        <w:jc w:val="both"/>
        <w:rPr>
          <w:rFonts w:ascii="Garamond" w:hAnsi="Garamond" w:cs="Arial"/>
        </w:rPr>
      </w:pPr>
    </w:p>
    <w:p>
      <w:pPr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Az </w:t>
      </w:r>
      <w:r>
        <w:rPr>
          <w:rFonts w:ascii="Garamond" w:hAnsi="Garamond" w:cs="Arial"/>
          <w:b/>
          <w:bCs/>
        </w:rPr>
        <w:t xml:space="preserve">&lt;Bank&gt;. </w:t>
      </w:r>
      <w:r>
        <w:rPr>
          <w:rFonts w:ascii="Garamond" w:hAnsi="Garamond" w:cs="Arial"/>
        </w:rPr>
        <w:t xml:space="preserve">(székhely: &lt;cím&gt;., cégjegyzékszáma: Cg. &lt;szám&gt;, a továbbiakban: Hitelintézet) előtt ismert, hogy a(z) </w:t>
      </w:r>
      <w:r>
        <w:rPr>
          <w:rFonts w:ascii="Garamond" w:hAnsi="Garamond" w:cs="Arial"/>
          <w:b/>
          <w:bCs/>
        </w:rPr>
        <w:t>&lt;Kedvezményezett neve&gt;.</w:t>
      </w:r>
      <w:r>
        <w:rPr>
          <w:rFonts w:ascii="Garamond" w:hAnsi="Garamond" w:cs="Arial"/>
        </w:rPr>
        <w:t xml:space="preserve"> (székhely: &lt;cím&gt; </w:t>
      </w:r>
      <w:r>
        <w:rPr>
          <w:rStyle w:val="cim"/>
          <w:rFonts w:ascii="Garamond" w:hAnsi="Garamond" w:cs="Arial"/>
          <w:color w:val="000000"/>
        </w:rPr>
        <w:t>.</w:t>
      </w:r>
      <w:r>
        <w:rPr>
          <w:rFonts w:ascii="Garamond" w:hAnsi="Garamond" w:cs="Arial"/>
        </w:rPr>
        <w:t xml:space="preserve">, cégjegyzékszáma: Cg. &lt;szám&gt;, adószáma: &lt;szám&gt;, bankszámlaszáma: …… a továbbiakban: Megbízó) </w:t>
      </w:r>
      <w:bookmarkStart w:id="0" w:name="GuarObj"/>
      <w:r>
        <w:rPr>
          <w:rFonts w:ascii="Garamond" w:hAnsi="Garamond" w:cs="Arial"/>
        </w:rPr>
        <w:t>„</w:t>
      </w:r>
      <w:r>
        <w:rPr>
          <w:rFonts w:ascii="Garamond" w:hAnsi="Garamond" w:cs="Arial"/>
          <w:b/>
          <w:bCs/>
        </w:rPr>
        <w:t>Energetikai kutatás-fejlesztési projektek támogatása</w:t>
      </w:r>
      <w:r>
        <w:rPr>
          <w:rFonts w:ascii="Garamond" w:hAnsi="Garamond" w:cs="Arial"/>
        </w:rPr>
        <w:t xml:space="preserve">” című pályázati felhívásra benyújtott </w:t>
      </w:r>
      <w:r>
        <w:rPr>
          <w:rFonts w:ascii="Garamond" w:hAnsi="Garamond" w:cs="Arial"/>
          <w:b/>
          <w:bCs/>
        </w:rPr>
        <w:t xml:space="preserve">&lt;projekt azonosító&gt; </w:t>
      </w:r>
      <w:r>
        <w:rPr>
          <w:rFonts w:ascii="Garamond" w:hAnsi="Garamond" w:cs="Arial"/>
        </w:rPr>
        <w:t>azonosítószámmal nyilvántartott támogatási kérelme a Kedvezményezett &lt;döntés napja&gt;-án</w:t>
      </w:r>
      <w:r>
        <w:rPr>
          <w:rFonts w:ascii="Garamond" w:hAnsi="Garamond" w:cs="Arial"/>
          <w:b/>
          <w:bCs/>
        </w:rPr>
        <w:t xml:space="preserve"> </w:t>
      </w:r>
      <w:r>
        <w:rPr>
          <w:rFonts w:ascii="Garamond" w:hAnsi="Garamond" w:cs="Arial"/>
        </w:rPr>
        <w:t>hozott döntése értelmében</w:t>
      </w:r>
      <w:r>
        <w:rPr>
          <w:rFonts w:ascii="Garamond" w:hAnsi="Garamond" w:cs="Arial"/>
          <w:b/>
          <w:bCs/>
        </w:rPr>
        <w:t xml:space="preserve"> &lt;támogatás összege&gt; </w:t>
      </w:r>
      <w:r>
        <w:rPr>
          <w:rFonts w:ascii="Garamond" w:hAnsi="Garamond" w:cs="Arial"/>
        </w:rPr>
        <w:t xml:space="preserve"> összegű vissza nem térítendő támogatást nyert el, amelyre tekintettel a Hitelintézet által fizetési bankgarancia biztosítására kerül sor a Kedvezményezett javára, az államháztartásról szóló 2011. évi CXCV. törvény 50/A §-a alapján, a költségvetési támogatás visszafizetésének biztosítására, az államháztartásról szóló törvény végrehajtásáról szóló 368/2011. (XII. 31.) Korm. rendelet 84. § (2) b) pontjára tekintettel.</w:t>
      </w:r>
    </w:p>
    <w:bookmarkEnd w:id="0"/>
    <w:p>
      <w:pPr>
        <w:jc w:val="both"/>
        <w:rPr>
          <w:rFonts w:ascii="Garamond" w:hAnsi="Garamond" w:cs="Arial"/>
        </w:rPr>
      </w:pPr>
    </w:p>
    <w:p>
      <w:pPr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A garancia kibocsátásának feltételeként előírt, a Megbízó és a Kedvezményezett között a támogatott beruházás megvalósítása érdekében kibocsátott Támogatói Okiratot a Megbízó a Hitelintézetnek bemutatta.</w:t>
      </w:r>
    </w:p>
    <w:p>
      <w:pPr>
        <w:jc w:val="both"/>
        <w:rPr>
          <w:rFonts w:ascii="Garamond" w:hAnsi="Garamond" w:cs="Arial"/>
        </w:rPr>
      </w:pPr>
    </w:p>
    <w:p>
      <w:pPr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 Hitelintézet kijelenti, hogy amennyiben a Megbízó a Kedvezményezettel az …. </w:t>
      </w:r>
      <w:r>
        <w:rPr>
          <w:rFonts w:ascii="Garamond" w:hAnsi="Garamond" w:cs="Arial"/>
          <w:b/>
          <w:bCs/>
        </w:rPr>
        <w:t xml:space="preserve">azonosítószám </w:t>
      </w:r>
      <w:r>
        <w:rPr>
          <w:rFonts w:ascii="Garamond" w:hAnsi="Garamond" w:cs="Arial"/>
        </w:rPr>
        <w:t>Támogatói Okiratban foglaltak nem teljesítése következtében kötelessé válik az igénybevett támogatás részben vagy egészében történő visszafizetésére, és ezen fizetési kötelezettségét nem teljesíti, a Kedvezményezett első írásbeli felszólítására, 3 (három) banki munkanapon belül, a Megbízó által az igénybe vett vissza nem térítendő támogatás, de legfeljebb</w:t>
      </w:r>
    </w:p>
    <w:p>
      <w:pPr>
        <w:jc w:val="both"/>
        <w:rPr>
          <w:rFonts w:ascii="Garamond" w:hAnsi="Garamond" w:cs="Arial"/>
        </w:rPr>
      </w:pPr>
    </w:p>
    <w:p>
      <w:pPr>
        <w:jc w:val="center"/>
        <w:rPr>
          <w:rFonts w:ascii="Garamond" w:hAnsi="Garamond" w:cs="Arial"/>
          <w:b/>
          <w:bCs/>
        </w:rPr>
      </w:pPr>
      <w:r>
        <w:rPr>
          <w:rFonts w:ascii="Garamond" w:hAnsi="Garamond" w:cs="Arial"/>
          <w:b/>
          <w:bCs/>
        </w:rPr>
        <w:t>garancia összege számmal Ft</w:t>
      </w:r>
    </w:p>
    <w:p>
      <w:pPr>
        <w:jc w:val="center"/>
        <w:rPr>
          <w:rFonts w:ascii="Garamond" w:hAnsi="Garamond" w:cs="Arial"/>
          <w:b/>
          <w:bCs/>
          <w:vertAlign w:val="superscript"/>
        </w:rPr>
      </w:pPr>
      <w:r>
        <w:rPr>
          <w:rFonts w:ascii="Garamond" w:hAnsi="Garamond" w:cs="Arial"/>
          <w:b/>
          <w:bCs/>
        </w:rPr>
        <w:t>(azaz &lt;betűvel&gt; forint)</w:t>
      </w:r>
      <w:r>
        <w:rPr>
          <w:rFonts w:ascii="Garamond" w:hAnsi="Garamond" w:cs="Arial"/>
          <w:b/>
          <w:bCs/>
          <w:vertAlign w:val="superscript"/>
        </w:rPr>
        <w:t>1</w:t>
      </w:r>
    </w:p>
    <w:p>
      <w:pPr>
        <w:rPr>
          <w:rFonts w:ascii="Garamond" w:hAnsi="Garamond" w:cs="Arial"/>
          <w:b/>
          <w:bCs/>
        </w:rPr>
      </w:pPr>
    </w:p>
    <w:p>
      <w:pPr>
        <w:autoSpaceDE w:val="false"/>
        <w:autoSpaceDN w:val="false"/>
        <w:jc w:val="both"/>
        <w:rPr>
          <w:rFonts w:ascii="Garamond" w:hAnsi="Garamond" w:cs="Arial"/>
          <w:vertAlign w:val="superscript"/>
        </w:rPr>
      </w:pPr>
      <w:r>
        <w:rPr>
          <w:rFonts w:ascii="Garamond" w:hAnsi="Garamond" w:cs="Arial"/>
        </w:rPr>
        <w:t>Jelen bankgarancia összege a kibocsátástól ………………..</w:t>
      </w:r>
      <w:r>
        <w:rPr>
          <w:rFonts w:ascii="Garamond" w:hAnsi="Garamond" w:cs="Arial"/>
          <w:vertAlign w:val="superscript"/>
        </w:rPr>
        <w:t>2</w:t>
      </w:r>
      <w:r>
        <w:rPr>
          <w:rFonts w:ascii="Garamond" w:hAnsi="Garamond" w:cs="Arial"/>
        </w:rPr>
        <w:t>-ig ........... Ft  azaz ..................... forint</w:t>
      </w:r>
      <w:r>
        <w:rPr>
          <w:rFonts w:ascii="Garamond" w:hAnsi="Garamond" w:cs="Arial"/>
          <w:vertAlign w:val="superscript"/>
        </w:rPr>
        <w:t>3</w:t>
      </w:r>
      <w:r>
        <w:rPr>
          <w:rFonts w:ascii="Garamond" w:hAnsi="Garamond" w:cs="Arial"/>
        </w:rPr>
        <w:t xml:space="preserve">, amely összeg ……………..  -én </w:t>
      </w:r>
      <w:r>
        <w:rPr>
          <w:rFonts w:ascii="Garamond" w:hAnsi="Garamond" w:cs="Arial"/>
          <w:vertAlign w:val="superscript"/>
        </w:rPr>
        <w:t>5</w:t>
      </w:r>
      <w:r>
        <w:rPr>
          <w:rFonts w:ascii="Garamond" w:hAnsi="Garamond" w:cs="Arial"/>
        </w:rPr>
        <w:t>automatikusan …………………….. Ft-ra azaz………………………. forintra</w:t>
      </w:r>
      <w:r>
        <w:rPr>
          <w:rFonts w:ascii="Garamond" w:hAnsi="Garamond" w:cs="Arial"/>
          <w:vertAlign w:val="superscript"/>
        </w:rPr>
        <w:t>6</w:t>
      </w:r>
      <w:r>
        <w:rPr>
          <w:rFonts w:ascii="Garamond" w:hAnsi="Garamond" w:cs="Arial"/>
        </w:rPr>
        <w:t xml:space="preserve"> csökken.</w:t>
      </w:r>
      <w:r>
        <w:rPr>
          <w:rFonts w:ascii="Garamond" w:hAnsi="Garamond" w:cs="Arial"/>
          <w:vertAlign w:val="superscript"/>
        </w:rPr>
        <w:t>4</w:t>
      </w:r>
    </w:p>
    <w:p>
      <w:pPr>
        <w:rPr>
          <w:rFonts w:ascii="Garamond" w:hAnsi="Garamond" w:cs="Arial"/>
          <w:b/>
          <w:bCs/>
        </w:rPr>
      </w:pPr>
    </w:p>
    <w:p>
      <w:pPr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erejéig feltétel nélkül és visszavonhatatlanul – az alapjogviszony vizsgálata nélkül és lemondva minden ebből fakadó kifogásolási jogunkról – fizetést teljesítünk a Kedvezményezett javára, az igénybejelentésben megjelölt, a Magyar Államkincstárnál vezetett 10032000-00290737-50000108 számú számlájára.</w:t>
      </w:r>
    </w:p>
    <w:p>
      <w:pPr>
        <w:jc w:val="both"/>
        <w:rPr>
          <w:rFonts w:ascii="Garamond" w:hAnsi="Garamond" w:cs="Arial"/>
        </w:rPr>
      </w:pPr>
    </w:p>
    <w:p>
      <w:pPr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A jelen Bankgaranciában megjelölt összeg a Hitelintézet által a jelen Bankgarancia alapján teljesített kifizetések összegével automatikusan csökken.</w:t>
      </w:r>
    </w:p>
    <w:p>
      <w:pPr>
        <w:jc w:val="both"/>
        <w:rPr>
          <w:rFonts w:ascii="Garamond" w:hAnsi="Garamond" w:cs="Arial"/>
        </w:rPr>
      </w:pPr>
    </w:p>
    <w:p>
      <w:pPr>
        <w:tabs>
          <w:tab w:pos="1210" w:val="left"/>
          <w:tab w:pos="2362" w:val="left"/>
          <w:tab w:pos="3514" w:val="left"/>
          <w:tab w:pos="4666" w:val="left"/>
          <w:tab w:pos="5818" w:val="left"/>
          <w:tab w:pos="6970" w:val="left"/>
          <w:tab w:pos="8122" w:val="left"/>
          <w:tab w:pos="9274" w:val="left"/>
        </w:tabs>
        <w:ind w:right="58"/>
        <w:jc w:val="both"/>
        <w:rPr>
          <w:rFonts w:ascii="Garamond" w:hAnsi="Garamond" w:cs="Arial"/>
          <w:vertAlign w:val="superscript"/>
        </w:rPr>
      </w:pPr>
      <w:r>
        <w:rPr>
          <w:rFonts w:ascii="Garamond" w:hAnsi="Garamond" w:cs="Arial"/>
        </w:rPr>
        <w:t xml:space="preserve">A jelen Bankgarancia a Támogatói Okiratban szereplő, a vállat kötelezettségek teljesítését igazoló záró fenntartási jelentés Kedvezményezett által történő elfogadásának napjáig, de legkésőbb </w:t>
      </w:r>
      <w:r>
        <w:rPr>
          <w:rFonts w:ascii="Garamond" w:hAnsi="Garamond" w:cs="Arial"/>
          <w:b/>
          <w:bCs/>
        </w:rPr>
        <w:t>202X. hónap 00.</w:t>
      </w:r>
      <w:r>
        <w:rPr>
          <w:rFonts w:ascii="Garamond" w:hAnsi="Garamond" w:cs="Arial"/>
        </w:rPr>
        <w:t xml:space="preserve"> napjáig hatályos</w:t>
      </w:r>
      <w:r>
        <w:rPr>
          <w:rFonts w:ascii="Garamond" w:hAnsi="Garamond" w:cs="Arial"/>
          <w:vertAlign w:val="superscript"/>
        </w:rPr>
        <w:t>7</w:t>
      </w:r>
      <w:r>
        <w:rPr>
          <w:rFonts w:ascii="Garamond" w:hAnsi="Garamond" w:cs="Arial"/>
        </w:rPr>
        <w:t>. Ezen időpontot követően a Hitelintézetnek a garanciavállalásból fakadó kötelezettsége megszűnik, és a jelen Garancia alapján semmilyen jogcímen fizetést nem teljesít, függetlenül attól, hogy a jelen Garancia eredeti példánya a Kedvezményezett birtokában marad.</w:t>
      </w:r>
      <w:r>
        <w:rPr>
          <w:rFonts w:ascii="Garamond" w:hAnsi="Garamond" w:cs="Arial"/>
          <w:vertAlign w:val="superscript"/>
        </w:rPr>
        <w:t>8</w:t>
      </w:r>
    </w:p>
    <w:p>
      <w:pPr>
        <w:jc w:val="both"/>
        <w:rPr>
          <w:rFonts w:ascii="Garamond" w:hAnsi="Garamond" w:cs="Arial"/>
        </w:rPr>
      </w:pPr>
    </w:p>
    <w:p>
      <w:pPr>
        <w:jc w:val="both"/>
        <w:rPr>
          <w:rFonts w:ascii="Garamond" w:hAnsi="Garamond" w:cs="Arial"/>
        </w:rPr>
      </w:pPr>
    </w:p>
    <w:p>
      <w:pPr>
        <w:jc w:val="both"/>
        <w:rPr>
          <w:rFonts w:ascii="Garamond" w:hAnsi="Garamond" w:cs="Arial"/>
        </w:rPr>
      </w:pPr>
    </w:p>
    <w:p>
      <w:pPr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Kelt: &lt;város&gt;, dátum</w:t>
      </w:r>
    </w:p>
    <w:p>
      <w:pPr>
        <w:jc w:val="both"/>
        <w:rPr>
          <w:rFonts w:ascii="Garamond" w:hAnsi="Garamond" w:cs="Arial"/>
        </w:rPr>
      </w:pPr>
    </w:p>
    <w:p>
      <w:pPr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hitelesítők aláírása</w:t>
      </w:r>
    </w:p>
    <w:p>
      <w:pPr>
        <w:jc w:val="both"/>
        <w:rPr>
          <w:rFonts w:ascii="Garamond" w:hAnsi="Garamond" w:cs="Arial"/>
        </w:rPr>
      </w:pPr>
    </w:p>
    <w:p>
      <w:pPr>
        <w:widowControl/>
        <w:rPr>
          <w:rFonts w:ascii="Garamond" w:hAnsi="Garamond" w:cs="Arial"/>
        </w:rPr>
      </w:pPr>
      <w:r>
        <w:rPr>
          <w:rFonts w:ascii="Garamond" w:hAnsi="Garamond" w:cs="Arial"/>
        </w:rPr>
        <w:br w:type="page"/>
      </w:r>
    </w:p>
    <w:p>
      <w:pPr>
        <w:jc w:val="center"/>
        <w:rPr>
          <w:rFonts w:ascii="Garamond" w:hAnsi="Garamond" w:cs="Arial"/>
          <w:sz w:val="32"/>
          <w:szCs w:val="32"/>
        </w:rPr>
      </w:pPr>
      <w:r>
        <w:rPr>
          <w:rFonts w:ascii="Garamond" w:hAnsi="Garamond" w:cs="Arial"/>
          <w:sz w:val="32"/>
          <w:szCs w:val="32"/>
        </w:rPr>
        <w:t>Útmutató</w:t>
      </w:r>
    </w:p>
    <w:p>
      <w:pPr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1 </w:t>
      </w:r>
    </w:p>
    <w:p>
      <w:pPr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A bankgarancia összege a projekt megvalósítási időszakában attól függ, melyik opcióval kíván élni a Támogatást igénylő.:</w:t>
      </w:r>
    </w:p>
    <w:p>
      <w:pPr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•</w:t>
      </w:r>
      <w:r>
        <w:rPr>
          <w:rFonts w:ascii="Garamond" w:hAnsi="Garamond" w:cs="Arial"/>
        </w:rPr>
        <w:tab/>
      </w:r>
      <w:r>
        <w:rPr>
          <w:rFonts w:ascii="Garamond" w:hAnsi="Garamond" w:cs="Arial"/>
        </w:rPr>
        <w:t>A bankgarancia összegének fedeznie kell a kifizetett támogatás (előleg) összegét, továbbá az igényelt előleg összegét. Ez alapján az első előleg igénylésekor az igényelt előleg összegét kell a bankgaranciának fedeznie. (A további előlegigénylésekkor a bankgarancia összegét emelni szükséges az igényelt előlegösszegekkel.)</w:t>
      </w:r>
    </w:p>
    <w:p>
      <w:pPr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•</w:t>
      </w:r>
      <w:r>
        <w:rPr>
          <w:rFonts w:ascii="Garamond" w:hAnsi="Garamond" w:cs="Arial"/>
        </w:rPr>
        <w:tab/>
      </w:r>
      <w:r>
        <w:rPr>
          <w:rFonts w:ascii="Garamond" w:hAnsi="Garamond" w:cs="Arial"/>
        </w:rPr>
        <w:t xml:space="preserve">Lehetőség van arra is, hogy a kedvezményezett a teljes, általa igényelhető előlegösszegre nyújtson be bankgaranciát, amely a támogatási összeg legfeljebb 90%-a lehet. </w:t>
      </w:r>
    </w:p>
    <w:p>
      <w:pPr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A fenntartási időszakban akkor kell biztosítékot nyújtani, amennyiben a kedvezményezett részére a támogatott tevékenységre kifizetett támogatás meghaladja az 50 millió Ft-ot. Ebben az esetben a fenntartási időszakban a bankgarancia összege a kifizetett támogatás 50%-a.</w:t>
      </w:r>
    </w:p>
    <w:p>
      <w:pPr>
        <w:jc w:val="both"/>
        <w:rPr>
          <w:rFonts w:ascii="Garamond" w:hAnsi="Garamond" w:cs="Arial"/>
        </w:rPr>
      </w:pPr>
    </w:p>
    <w:p>
      <w:pPr>
        <w:jc w:val="both"/>
        <w:rPr>
          <w:rFonts w:ascii="Garamond" w:hAnsi="Garamond" w:cs="Arial"/>
          <w:lang w:eastAsia="en-US"/>
        </w:rPr>
      </w:pPr>
      <w:r>
        <w:rPr>
          <w:rFonts w:ascii="Garamond" w:hAnsi="Garamond" w:cs="Arial"/>
          <w:lang w:eastAsia="en-US"/>
        </w:rPr>
        <w:t>2</w:t>
      </w:r>
    </w:p>
    <w:p>
      <w:pPr>
        <w:jc w:val="both"/>
        <w:rPr>
          <w:rFonts w:ascii="Garamond" w:hAnsi="Garamond" w:cs="Arial"/>
          <w:lang w:eastAsia="en-US"/>
        </w:rPr>
      </w:pPr>
      <w:r>
        <w:rPr>
          <w:rFonts w:ascii="Garamond" w:hAnsi="Garamond" w:cs="Arial"/>
          <w:lang w:eastAsia="en-US"/>
        </w:rPr>
        <w:t>A támogatói okiratban rögzített határidők figyelembevételével e határidő a projekt fizikai befejezését követő 145. nap vége. (Záró beszámoló benyújtása: fizikai befejezés + 60 nap; Ellenőrzése: 60 nap; Esetleges hiánypótlás: 20 nap; Értesítés: 5 nap.)</w:t>
      </w:r>
    </w:p>
    <w:p>
      <w:pPr>
        <w:jc w:val="both"/>
        <w:rPr>
          <w:rFonts w:ascii="Garamond" w:hAnsi="Garamond" w:cs="Arial"/>
          <w:lang w:eastAsia="en-US"/>
        </w:rPr>
      </w:pPr>
    </w:p>
    <w:p>
      <w:pPr>
        <w:jc w:val="both"/>
        <w:rPr>
          <w:rFonts w:ascii="Garamond" w:hAnsi="Garamond" w:cs="Arial"/>
          <w:lang w:eastAsia="en-US"/>
        </w:rPr>
      </w:pPr>
      <w:r>
        <w:rPr>
          <w:rFonts w:ascii="Garamond" w:hAnsi="Garamond" w:cs="Arial"/>
          <w:lang w:eastAsia="en-US"/>
        </w:rPr>
        <w:t>3</w:t>
      </w:r>
    </w:p>
    <w:p>
      <w:pPr>
        <w:jc w:val="both"/>
        <w:rPr>
          <w:rFonts w:ascii="Garamond" w:hAnsi="Garamond" w:cs="Arial"/>
          <w:lang w:eastAsia="en-US"/>
        </w:rPr>
      </w:pPr>
      <w:r>
        <w:rPr>
          <w:rFonts w:ascii="Garamond" w:hAnsi="Garamond" w:cs="Arial"/>
          <w:lang w:eastAsia="en-US"/>
        </w:rPr>
        <w:t>Ha a támogatott egy összegben adja a garanciát, akkor az a támogatás 90%-a (amennyi előleget igényelhet – a fennmaradó 10% az ellenőrzés után kerül kifizetésre, tehát azt ebben a körben nem kell biztosítani).</w:t>
      </w:r>
    </w:p>
    <w:p>
      <w:pPr>
        <w:jc w:val="both"/>
        <w:rPr>
          <w:rFonts w:ascii="Garamond" w:hAnsi="Garamond" w:cs="Arial"/>
          <w:lang w:eastAsia="en-US"/>
        </w:rPr>
      </w:pPr>
    </w:p>
    <w:p>
      <w:pPr>
        <w:jc w:val="both"/>
        <w:rPr>
          <w:rFonts w:ascii="Garamond" w:hAnsi="Garamond" w:cs="Arial"/>
          <w:lang w:eastAsia="en-US"/>
        </w:rPr>
      </w:pPr>
      <w:r>
        <w:rPr>
          <w:rFonts w:ascii="Garamond" w:hAnsi="Garamond" w:cs="Arial"/>
          <w:lang w:eastAsia="en-US"/>
        </w:rPr>
        <w:t>4</w:t>
      </w:r>
    </w:p>
    <w:p>
      <w:pPr>
        <w:jc w:val="both"/>
        <w:rPr>
          <w:rFonts w:ascii="Garamond" w:hAnsi="Garamond" w:cs="Arial"/>
          <w:lang w:eastAsia="en-US"/>
        </w:rPr>
      </w:pPr>
      <w:r>
        <w:rPr>
          <w:rFonts w:ascii="Garamond" w:hAnsi="Garamond" w:cs="Arial"/>
          <w:lang w:eastAsia="en-US"/>
        </w:rPr>
        <w:t>Kizárólag a 2. számú megjegyzésben rögzített 2. opció esetében alkalmazandó.</w:t>
      </w:r>
    </w:p>
    <w:p>
      <w:pPr>
        <w:jc w:val="both"/>
        <w:rPr>
          <w:rFonts w:ascii="Garamond" w:hAnsi="Garamond" w:cs="Arial"/>
          <w:b/>
          <w:bCs/>
          <w:lang w:eastAsia="en-US"/>
        </w:rPr>
      </w:pPr>
    </w:p>
    <w:p>
      <w:pPr>
        <w:jc w:val="both"/>
        <w:rPr>
          <w:rFonts w:ascii="Garamond" w:hAnsi="Garamond" w:cs="Arial"/>
          <w:lang w:eastAsia="en-US"/>
        </w:rPr>
      </w:pPr>
      <w:r>
        <w:rPr>
          <w:rFonts w:ascii="Garamond" w:hAnsi="Garamond" w:cs="Arial"/>
          <w:lang w:eastAsia="en-US"/>
        </w:rPr>
        <w:t>5</w:t>
      </w:r>
    </w:p>
    <w:p>
      <w:pPr>
        <w:jc w:val="both"/>
        <w:rPr>
          <w:rFonts w:ascii="Garamond" w:hAnsi="Garamond" w:cs="Arial"/>
          <w:lang w:eastAsia="en-US"/>
        </w:rPr>
      </w:pPr>
      <w:r>
        <w:rPr>
          <w:rFonts w:ascii="Garamond" w:hAnsi="Garamond" w:cs="Arial"/>
          <w:lang w:eastAsia="en-US"/>
        </w:rPr>
        <w:t>A projekt fizikai befejezését követő nap.</w:t>
      </w:r>
    </w:p>
    <w:p>
      <w:pPr>
        <w:jc w:val="both"/>
        <w:rPr>
          <w:rFonts w:ascii="Garamond" w:hAnsi="Garamond" w:cs="Arial"/>
          <w:lang w:eastAsia="en-US"/>
        </w:rPr>
      </w:pPr>
    </w:p>
    <w:p>
      <w:pPr>
        <w:jc w:val="both"/>
        <w:rPr>
          <w:rFonts w:ascii="Garamond" w:hAnsi="Garamond" w:cs="Arial"/>
          <w:lang w:eastAsia="en-US"/>
        </w:rPr>
      </w:pPr>
      <w:r>
        <w:rPr>
          <w:rFonts w:ascii="Garamond" w:hAnsi="Garamond" w:cs="Arial"/>
          <w:lang w:eastAsia="en-US"/>
        </w:rPr>
        <w:t>6</w:t>
      </w:r>
    </w:p>
    <w:p>
      <w:pPr>
        <w:jc w:val="both"/>
        <w:rPr>
          <w:rFonts w:ascii="Garamond" w:hAnsi="Garamond" w:cs="Arial"/>
          <w:lang w:eastAsia="en-US"/>
        </w:rPr>
      </w:pPr>
      <w:r>
        <w:rPr>
          <w:rFonts w:ascii="Garamond" w:hAnsi="Garamond" w:cs="Arial"/>
          <w:lang w:eastAsia="en-US"/>
        </w:rPr>
        <w:t xml:space="preserve">A fenntartási időszakban akkor kell biztosítékot nyújtani, amennyiben a kedvezményezett részére a támogatott tevékenységre kifizetett támogatás meghaladja az 50 millió Ft-ot. Ebben az esetben a fenntartási időszakban a bankgarancia összege a kifizetett támogatás 50%-a.. </w:t>
      </w:r>
    </w:p>
    <w:p>
      <w:pPr>
        <w:jc w:val="both"/>
        <w:rPr>
          <w:rFonts w:ascii="Garamond" w:hAnsi="Garamond" w:cs="Arial"/>
          <w:lang w:eastAsia="en-US"/>
        </w:rPr>
      </w:pPr>
      <w:r>
        <w:rPr>
          <w:rFonts w:ascii="Garamond" w:hAnsi="Garamond" w:cs="Arial"/>
          <w:lang w:eastAsia="en-US"/>
        </w:rPr>
        <w:t>Ha előre adják a garanciát, akkor ennek pontos összegét nem tudjuk. Ezért ebben az esetben a megítélt támogatás 50%-áig kérjünk garanciát a fenntartási időszakra.</w:t>
      </w:r>
    </w:p>
    <w:p>
      <w:pPr>
        <w:jc w:val="both"/>
        <w:rPr>
          <w:rFonts w:ascii="Garamond" w:hAnsi="Garamond" w:cs="Arial"/>
          <w:lang w:eastAsia="en-US"/>
        </w:rPr>
      </w:pPr>
    </w:p>
    <w:p>
      <w:pPr>
        <w:jc w:val="both"/>
        <w:rPr>
          <w:rFonts w:ascii="Garamond" w:hAnsi="Garamond" w:cs="Arial"/>
          <w:lang w:eastAsia="en-US"/>
        </w:rPr>
      </w:pPr>
      <w:r>
        <w:rPr>
          <w:rFonts w:ascii="Garamond" w:hAnsi="Garamond" w:cs="Arial"/>
          <w:lang w:eastAsia="en-US"/>
        </w:rPr>
        <w:t>7</w:t>
      </w:r>
    </w:p>
    <w:p>
      <w:pPr>
        <w:jc w:val="both"/>
        <w:rPr>
          <w:rFonts w:ascii="Garamond" w:hAnsi="Garamond" w:cs="Arial"/>
          <w:lang w:eastAsia="en-US"/>
        </w:rPr>
      </w:pPr>
      <w:r>
        <w:rPr>
          <w:rFonts w:ascii="Garamond" w:hAnsi="Garamond" w:cs="Arial"/>
          <w:b/>
          <w:bCs/>
          <w:lang w:eastAsia="en-US"/>
        </w:rPr>
        <w:t>Bankgarancia lejáratának a napja:</w:t>
      </w:r>
    </w:p>
    <w:p>
      <w:pPr>
        <w:jc w:val="both"/>
        <w:rPr>
          <w:rFonts w:ascii="Garamond" w:hAnsi="Garamond" w:cs="Arial"/>
          <w:lang w:eastAsia="en-US"/>
        </w:rPr>
      </w:pPr>
      <w:r>
        <w:rPr>
          <w:rFonts w:ascii="Garamond" w:hAnsi="Garamond" w:cs="Arial"/>
          <w:lang w:eastAsia="en-US"/>
        </w:rPr>
        <w:t>Az államháztartásról szóló törvény végrehajtásáról szóló 368/2011. (XII. 31.) Korm. rendelet 85. § (3) bekezdése szerint „a biztosítéknak a támogatási jogviszony alapján fennálló kötelezettségek megszűnéséig rendelkezésre kell állnia”. A gyakorlatban ez azt jelenti, hogy - amennyiben a kedvezményezett részére megítélt támogatás összege meghaladja az 50 millió Ft-ot, vagyis a kedvezményezettnek a fenntartási időszakra is bankgaranciát kell nyújtania -, a bankgaranciának a projektzáró levél kibocsátásáig rendelkezésre kell állnia. A támogatói okiratban rögzített határidők figyelembevételével e határidő a fenntartási időszak lejártát követő 145. nap vége. (Záró fenntartási jelentés benyújtása: fenntartási időszak vége + 60 nap; Ellenőrzése: 60 nap; Esetleges hiánypótlás: 20 nap; Értesítés: 5 nap.)</w:t>
      </w:r>
    </w:p>
    <w:p>
      <w:pPr>
        <w:jc w:val="both"/>
        <w:rPr>
          <w:rFonts w:ascii="Garamond" w:hAnsi="Garamond" w:cs="Arial"/>
          <w:lang w:eastAsia="en-US"/>
        </w:rPr>
      </w:pPr>
    </w:p>
    <w:p>
      <w:pPr>
        <w:jc w:val="both"/>
        <w:rPr>
          <w:rFonts w:ascii="Garamond" w:hAnsi="Garamond" w:cs="Arial"/>
          <w:lang w:eastAsia="en-US"/>
        </w:rPr>
      </w:pPr>
      <w:r>
        <w:rPr>
          <w:rFonts w:ascii="Garamond" w:hAnsi="Garamond" w:cs="Arial"/>
          <w:lang w:eastAsia="en-US"/>
        </w:rPr>
        <w:t>8</w:t>
      </w:r>
    </w:p>
    <w:p>
      <w:pPr>
        <w:jc w:val="both"/>
        <w:rPr>
          <w:rFonts w:ascii="Garamond" w:hAnsi="Garamond" w:cs="Arial"/>
          <w:lang w:eastAsia="en-US"/>
        </w:rPr>
      </w:pPr>
      <w:r>
        <w:rPr>
          <w:rFonts w:ascii="Garamond" w:hAnsi="Garamond" w:cs="Arial"/>
          <w:b/>
          <w:bCs/>
          <w:lang w:eastAsia="en-US"/>
        </w:rPr>
        <w:t>Bankgarancia kibocsátás napja:</w:t>
      </w:r>
      <w:r>
        <w:rPr>
          <w:rFonts w:ascii="Garamond" w:hAnsi="Garamond" w:cs="Arial"/>
          <w:lang w:eastAsia="en-US"/>
        </w:rPr>
        <w:t xml:space="preserve"> Az első támogatási előlegrész igénylését megelőző dátum.</w:t>
      </w:r>
    </w:p>
    <w:p>
      <w:pPr>
        <w:jc w:val="both"/>
        <w:rPr>
          <w:rFonts w:ascii="Garamond" w:hAnsi="Garamond" w:cs="Arial"/>
          <w:lang w:eastAsia="en-US"/>
        </w:rPr>
      </w:pPr>
      <w:r>
        <w:rPr>
          <w:rFonts w:ascii="Garamond" w:hAnsi="Garamond" w:cs="Arial"/>
          <w:b/>
          <w:bCs/>
          <w:lang w:eastAsia="en-US"/>
        </w:rPr>
        <w:t>Bankgarancia hatálybalépésének napja:</w:t>
      </w:r>
      <w:r>
        <w:rPr>
          <w:rFonts w:ascii="Garamond" w:hAnsi="Garamond" w:cs="Arial"/>
          <w:lang w:eastAsia="en-US"/>
        </w:rPr>
        <w:t xml:space="preserve"> </w:t>
      </w:r>
    </w:p>
    <w:p>
      <w:pPr>
        <w:jc w:val="both"/>
        <w:rPr>
          <w:rFonts w:ascii="Garamond" w:hAnsi="Garamond" w:cs="Arial"/>
          <w:lang w:eastAsia="en-US"/>
        </w:rPr>
      </w:pPr>
      <w:r>
        <w:rPr>
          <w:rFonts w:ascii="Garamond" w:hAnsi="Garamond" w:cs="Arial"/>
          <w:lang w:eastAsia="en-US"/>
        </w:rPr>
        <w:t>A támogatói okirat hatályba lépésének napja, amely a támogatói okirat közlésének napja.</w:t>
      </w:r>
    </w:p>
    <w:sectPr>
      <w:headerReference w:type="first" r:id="gemHfRid4"/>
      <w:pgSz w:w="11906" w:h="16838"/>
      <w:pgMar w:top="1417" w:right="1417" w:bottom="851" w:left="1417" w:header="708" w:footer="709" w:gutter="0"/>
      <w:cols w:space="708"/>
      <w:titlePg/>
      <w:docGrid w:type="default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p>
    <w:pPr>
      <w:jc w:val="right"/>
    </w:pPr>
    <w:r>
      <w:tab/>
    </w:r>
    <w:r>
      <w:tab/>
    </w:r>
    <w:r>
      <w:rPr>
        <w:rFonts w:ascii="Arial" w:eastAsia="Arial" w:hAnsi="Arial" w:cs="Arial"/>
        <w:b w:val="false"/>
        <w:bCs w:val="false"/>
        <w:i w:val="false"/>
        <w:sz w:val="16"/>
        <w:szCs w:val="16"/>
      </w:rPr>
      <w:t xml:space="preserve"> </w:t>
    </w:r>
    <w:bookmarkStart w:id="1" w:name="Hivatkozasiszam"/>
    <w:bookmarkEnd w:id="1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xmlns:w="http://schemas.openxmlformats.org/wordprocessingml/2006/main" w:name="overrideTableStyleFontSizeAndJustification" w:uri="http://schemas.microsoft.com/office/word" w:val="1"/>
    <w:compatSetting xmlns:w="http://schemas.openxmlformats.org/wordprocessingml/2006/main" w:name="enableOpenTypeFeatures" w:uri="http://schemas.microsoft.com/office/word" w:val="1"/>
    <w:compatSetting xmlns:w="http://schemas.openxmlformats.org/wordprocessingml/2006/main" w:name="doNotFlipMirrorIndents" w:uri="http://schemas.microsoft.com/office/word" w:val="1"/>
    <w:compatSetting xmlns:w="http://schemas.openxmlformats.org/wordprocessingml/2006/main" w:name="differentiateMultirowTableHeaders" w:uri="http://schemas.microsoft.com/office/word" w:val="1"/>
    <w:compatSetting xmlns:w="http://schemas.openxmlformats.org/wordprocessingml/2006/main" w:name="useWord2013TrackBottomHyphenation" w:uri="http://schemas.microsoft.com/office/word" w:val="1"/>
  </w:compat>
  <w:characterSpacingControl xmlns:w="http://schemas.openxmlformats.org/wordprocessingml/2006/main" w:val="doNotCompress"/>
  <w:proofState xmlns:w="http://schemas.openxmlformats.org/wordprocessingml/2006/main" w:spelling="clean" w:grammar="clean"/>
  <w:stylePaneFormatFilter xmlns:w="http://schemas.openxmlformats.org/wordprocessingml/2006/main"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characterSpacingControl xmlns:w="http://schemas.openxmlformats.org/wordprocessingml/2006/main" w:val="doNotCompress"/>
  <w:hdrShapeDefaults xmlns:w="http://schemas.openxmlformats.org/wordprocessingml/2006/main">
    <o:shapedefaults xmlns:v="urn:schemas-microsoft-com:vml" xmlns:o="urn:schemas-microsoft-com:office:office" v:ext="edit" spidmax="2050"/>
  </w:hdrShapeDefaults>
  <w:rsids xmlns:w="http://schemas.openxmlformats.org/wordprocessingml/2006/main">
    <w:rsidRoot w:val="00F32C90"/>
    <w:rsid w:val="00004C67"/>
    <w:rsid w:val="00011E9A"/>
    <w:rsid w:val="00020059"/>
    <w:rsid w:val="00042BE4"/>
    <w:rsid w:val="00044B4C"/>
    <w:rsid w:val="000565EC"/>
    <w:rsid w:val="00060272"/>
    <w:rsid w:val="00060498"/>
    <w:rsid w:val="0006654F"/>
    <w:rsid w:val="000728C0"/>
    <w:rsid w:val="0009706C"/>
    <w:rsid w:val="000A6951"/>
    <w:rsid w:val="000F5D33"/>
    <w:rsid w:val="001151EC"/>
    <w:rsid w:val="00116590"/>
    <w:rsid w:val="00134454"/>
    <w:rsid w:val="00145221"/>
    <w:rsid w:val="00145D7C"/>
    <w:rsid w:val="00165EB2"/>
    <w:rsid w:val="001720B6"/>
    <w:rsid w:val="00173829"/>
    <w:rsid w:val="00175ED9"/>
    <w:rsid w:val="00177F34"/>
    <w:rsid w:val="00182AD4"/>
    <w:rsid w:val="00184042"/>
    <w:rsid w:val="001867F2"/>
    <w:rsid w:val="0019232E"/>
    <w:rsid w:val="00196B2A"/>
    <w:rsid w:val="001A4158"/>
    <w:rsid w:val="001F2E77"/>
    <w:rsid w:val="001F6714"/>
    <w:rsid w:val="001F7476"/>
    <w:rsid w:val="00210D81"/>
    <w:rsid w:val="0021336E"/>
    <w:rsid w:val="00215416"/>
    <w:rsid w:val="00222226"/>
    <w:rsid w:val="0023427D"/>
    <w:rsid w:val="00244419"/>
    <w:rsid w:val="0024588E"/>
    <w:rsid w:val="00246CAA"/>
    <w:rsid w:val="002510BC"/>
    <w:rsid w:val="00252A99"/>
    <w:rsid w:val="00263726"/>
    <w:rsid w:val="00265213"/>
    <w:rsid w:val="00267215"/>
    <w:rsid w:val="00267587"/>
    <w:rsid w:val="002836DD"/>
    <w:rsid w:val="002A07BB"/>
    <w:rsid w:val="002A3001"/>
    <w:rsid w:val="002B2424"/>
    <w:rsid w:val="002B7307"/>
    <w:rsid w:val="00316F6C"/>
    <w:rsid w:val="00325B52"/>
    <w:rsid w:val="0033538B"/>
    <w:rsid w:val="0033580E"/>
    <w:rsid w:val="00372C3D"/>
    <w:rsid w:val="00386D99"/>
    <w:rsid w:val="0039115D"/>
    <w:rsid w:val="003A177C"/>
    <w:rsid w:val="003A6CC6"/>
    <w:rsid w:val="003D2AE7"/>
    <w:rsid w:val="003D73A8"/>
    <w:rsid w:val="003F19D1"/>
    <w:rsid w:val="003F1CFD"/>
    <w:rsid w:val="00407827"/>
    <w:rsid w:val="00411C35"/>
    <w:rsid w:val="00411DD9"/>
    <w:rsid w:val="0041250C"/>
    <w:rsid w:val="00413562"/>
    <w:rsid w:val="00433F3F"/>
    <w:rsid w:val="00441573"/>
    <w:rsid w:val="00450625"/>
    <w:rsid w:val="00451800"/>
    <w:rsid w:val="004545A2"/>
    <w:rsid w:val="00455F55"/>
    <w:rsid w:val="00477841"/>
    <w:rsid w:val="00491720"/>
    <w:rsid w:val="004A0E79"/>
    <w:rsid w:val="004A79CC"/>
    <w:rsid w:val="004B1E38"/>
    <w:rsid w:val="004C433C"/>
    <w:rsid w:val="004C61E5"/>
    <w:rsid w:val="00502B89"/>
    <w:rsid w:val="00552308"/>
    <w:rsid w:val="00562333"/>
    <w:rsid w:val="00562543"/>
    <w:rsid w:val="00576E5C"/>
    <w:rsid w:val="005A6702"/>
    <w:rsid w:val="005A703D"/>
    <w:rsid w:val="005B7759"/>
    <w:rsid w:val="005C675B"/>
    <w:rsid w:val="00600A12"/>
    <w:rsid w:val="006019D4"/>
    <w:rsid w:val="00613CDD"/>
    <w:rsid w:val="0062360E"/>
    <w:rsid w:val="00636E6A"/>
    <w:rsid w:val="00637D2B"/>
    <w:rsid w:val="00643717"/>
    <w:rsid w:val="006760C4"/>
    <w:rsid w:val="00686EC8"/>
    <w:rsid w:val="00687C14"/>
    <w:rsid w:val="006A7733"/>
    <w:rsid w:val="006B585E"/>
    <w:rsid w:val="006D3C35"/>
    <w:rsid w:val="007276C3"/>
    <w:rsid w:val="00740092"/>
    <w:rsid w:val="00753CCD"/>
    <w:rsid w:val="0076003E"/>
    <w:rsid w:val="00780CD9"/>
    <w:rsid w:val="007847A2"/>
    <w:rsid w:val="00794ECC"/>
    <w:rsid w:val="007C22D1"/>
    <w:rsid w:val="007E687F"/>
    <w:rsid w:val="00825B1C"/>
    <w:rsid w:val="0085515B"/>
    <w:rsid w:val="00873807"/>
    <w:rsid w:val="00893A12"/>
    <w:rsid w:val="00897D85"/>
    <w:rsid w:val="008B02FE"/>
    <w:rsid w:val="008B1C12"/>
    <w:rsid w:val="008F15A4"/>
    <w:rsid w:val="008F6467"/>
    <w:rsid w:val="00905EDE"/>
    <w:rsid w:val="00906F27"/>
    <w:rsid w:val="00921C1E"/>
    <w:rsid w:val="00930CB1"/>
    <w:rsid w:val="00941E02"/>
    <w:rsid w:val="00945621"/>
    <w:rsid w:val="0095200E"/>
    <w:rsid w:val="0098032F"/>
    <w:rsid w:val="0098332F"/>
    <w:rsid w:val="0098484E"/>
    <w:rsid w:val="00990A4A"/>
    <w:rsid w:val="009D5B31"/>
    <w:rsid w:val="00A201A7"/>
    <w:rsid w:val="00A26E58"/>
    <w:rsid w:val="00A375C5"/>
    <w:rsid w:val="00A5481A"/>
    <w:rsid w:val="00A5560E"/>
    <w:rsid w:val="00A70365"/>
    <w:rsid w:val="00A714B3"/>
    <w:rsid w:val="00A873C3"/>
    <w:rsid w:val="00AB52D9"/>
    <w:rsid w:val="00AD035F"/>
    <w:rsid w:val="00AF15B6"/>
    <w:rsid w:val="00B03A03"/>
    <w:rsid w:val="00B14C16"/>
    <w:rsid w:val="00B16200"/>
    <w:rsid w:val="00B17C27"/>
    <w:rsid w:val="00B252C0"/>
    <w:rsid w:val="00B45052"/>
    <w:rsid w:val="00B50173"/>
    <w:rsid w:val="00B612FF"/>
    <w:rsid w:val="00B64165"/>
    <w:rsid w:val="00B74CCA"/>
    <w:rsid w:val="00B76F80"/>
    <w:rsid w:val="00B77B19"/>
    <w:rsid w:val="00BD0A44"/>
    <w:rsid w:val="00BE7E2D"/>
    <w:rsid w:val="00BF7E36"/>
    <w:rsid w:val="00C02D6C"/>
    <w:rsid w:val="00C137F9"/>
    <w:rsid w:val="00C319DF"/>
    <w:rsid w:val="00C35F89"/>
    <w:rsid w:val="00C40524"/>
    <w:rsid w:val="00C549C8"/>
    <w:rsid w:val="00C62940"/>
    <w:rsid w:val="00C63887"/>
    <w:rsid w:val="00C76CA9"/>
    <w:rsid w:val="00C82BDD"/>
    <w:rsid w:val="00C941C3"/>
    <w:rsid w:val="00CA136B"/>
    <w:rsid w:val="00CB29F8"/>
    <w:rsid w:val="00CB3C2A"/>
    <w:rsid w:val="00CB6D6A"/>
    <w:rsid w:val="00CB77F6"/>
    <w:rsid w:val="00CC7055"/>
    <w:rsid w:val="00CD066C"/>
    <w:rsid w:val="00CE29B5"/>
    <w:rsid w:val="00CE44CF"/>
    <w:rsid w:val="00D02E4E"/>
    <w:rsid w:val="00D263D4"/>
    <w:rsid w:val="00D44867"/>
    <w:rsid w:val="00D46BCB"/>
    <w:rsid w:val="00D479CB"/>
    <w:rsid w:val="00D64DC3"/>
    <w:rsid w:val="00D76084"/>
    <w:rsid w:val="00D83E2F"/>
    <w:rsid w:val="00DC2434"/>
    <w:rsid w:val="00DD5785"/>
    <w:rsid w:val="00DE52E8"/>
    <w:rsid w:val="00DF095B"/>
    <w:rsid w:val="00E022C2"/>
    <w:rsid w:val="00E36A39"/>
    <w:rsid w:val="00E45595"/>
    <w:rsid w:val="00E47E93"/>
    <w:rsid w:val="00E55148"/>
    <w:rsid w:val="00E62169"/>
    <w:rsid w:val="00E7552A"/>
    <w:rsid w:val="00E96ABF"/>
    <w:rsid w:val="00EC7F52"/>
    <w:rsid w:val="00EF1BE0"/>
    <w:rsid w:val="00EF400E"/>
    <w:rsid w:val="00EF4F25"/>
    <w:rsid w:val="00F11C09"/>
    <w:rsid w:val="00F271D7"/>
    <w:rsid w:val="00F30D09"/>
    <w:rsid w:val="00F32C90"/>
    <w:rsid w:val="00F51F22"/>
    <w:rsid w:val="00F75ECE"/>
    <w:rsid w:val="00F7683E"/>
    <w:rsid w:val="00F82C42"/>
    <w:rsid w:val="00FB311F"/>
    <w:rsid w:val="00FC4D1E"/>
    <w:rsid w:val="00FC7908"/>
    <w:rsid w:val="00FD3514"/>
    <w:rsid w:val="00FF7F9A"/>
  </w:rsids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clrSchemeMapping xmlns:w="http://schemas.openxmlformats.org/wordprocessingml/2006/main" w:bg1="light1" w:t1="dark1" w:bg2="light2" w:t2="dark2" w:accent1="accent1" w:accent2="accent2" w:accent3="accent3" w:accent4="accent4" w:accent5="accent5" w:accent6="accent6" w:hyperlink="hyperlink" w:followedHyperlink="followedHyperlink"/>
  <w:doNotIncludeSubdocsInStats xmlns:w="http://schemas.openxmlformats.org/wordprocessingml/2006/main"/>
  <w:doNotAutoCompressPictures xmlns:w="http://schemas.openxmlformats.org/wordprocessingml/2006/main"/>
  <w:shapeDefaults xmlns:w="http://schemas.openxmlformats.org/wordprocessingml/2006/main">
    <o:shapedefaults xmlns:v="urn:schemas-microsoft-com:vml" xmlns:o="urn:schemas-microsoft-com:office:office" v:ext="edit" spidmax="2050"/>
    <o:shapelayout xmlns:v="urn:schemas-microsoft-com:vml" xmlns:o="urn:schemas-microsoft-com:office:office" v:ext="edit">
      <o:idmap v:ext="edit" data="2"/>
    </o:shapelayout>
  </w:shapeDefaults>
  <w:decimalSymbol xmlns:w="http://schemas.openxmlformats.org/wordprocessingml/2006/main" w:val=","/>
  <w:listSeparator xmlns:w="http://schemas.openxmlformats.org/wordprocessingml/2006/main" w:val=";"/>
  <w14:docId xmlns:w14="http://schemas.microsoft.com/office/word/2010/wordml" w14:val="1872656C"/>
  <w15:chartTrackingRefBased xmlns:w15="http://schemas.microsoft.com/office/word/2012/wordml"/>
  <w15:docId xmlns:w15="http://schemas.microsoft.com/office/word/2012/wordml" w15:val="{9CE76CAA-9002-4618-BA48-3F1E18DDC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bidi="ar-SA" w:eastAsia="hu-HU"/>
      </w:rPr>
    </w:rPrDefault>
    <w:pPrDefault>
      <w:pPr/>
    </w:pPrDefault>
  </w:docDefaults>
  <w:latentStyles xmlns:w="http://schemas.openxmlformats.org/wordprocessingml/2006/main"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" w:default="true">
    <w:name w:val="Normal"/>
    <w:qFormat/>
    <w:pPr>
      <w:widowControl w:val="false"/>
    </w:pPr>
    <w:rPr>
      <w:sz w:val="24"/>
      <w:szCs w:val="24"/>
    </w:rPr>
  </w:style>
  <w:style w:type="character" w:styleId="Bekezdsalapbettpusa" w:default="true">
    <w:name w:val="Default Paragraph Font"/>
    <w:uiPriority w:val="1"/>
    <w:semiHidden/>
    <w:unhideWhenUsed/>
    <w:rPr/>
  </w:style>
  <w:style w:type="table" w:styleId="Normltblzat" w:default="true">
    <w:name w:val="Normal Table"/>
    <w:uiPriority w:val="99"/>
    <w:semiHidden/>
    <w:unhideWhenUsed/>
    <w:pPr/>
    <w:rPr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numbering" w:styleId="Nemlista" w:default="true">
    <w:name w:val="No List"/>
    <w:uiPriority w:val="99"/>
    <w:semiHidden/>
    <w:unhideWhenUsed/>
  </w:style>
  <w:style w:type="character" w:styleId="Jegyzethivatkozs">
    <w:name w:val="annotation reference"/>
    <w:uiPriority w:val="99"/>
    <w:semiHidden/>
    <w:unhideWhenUsed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pPr/>
    <w:rPr>
      <w:sz w:val="20"/>
      <w:szCs w:val="20"/>
    </w:rPr>
  </w:style>
  <w:style w:type="character" w:styleId="JegyzetszvegChar">
    <w:name w:val="Jegyzetszöveg Char"/>
    <w:basedOn w:val="Bekezdsalapbettpusa"/>
    <w:link w:val="Jegyzetszveg"/>
    <w:uiPriority w:val="99"/>
    <w:rPr/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pPr/>
    <w:rPr>
      <w:b/>
      <w:bCs/>
      <w:lang w:eastAsia="x-none"/>
    </w:rPr>
  </w:style>
  <w:style w:type="character" w:styleId="MegjegyzstrgyaChar">
    <w:name w:val="Megjegyzés tárgya Char"/>
    <w:link w:val="Megjegyzstrgya"/>
    <w:uiPriority w:val="99"/>
    <w:semiHidden/>
    <w:rPr>
      <w:b/>
      <w:bCs/>
    </w:rPr>
  </w:style>
  <w:style w:type="paragraph" w:styleId="Buborkszveg">
    <w:name w:val="Balloon Text"/>
    <w:basedOn w:val="Norml"/>
    <w:link w:val="BuborkszvegChar"/>
    <w:uiPriority w:val="99"/>
    <w:semiHidden/>
    <w:unhideWhenUsed/>
    <w:pPr/>
    <w:rPr>
      <w:rFonts w:ascii="Tahoma" w:hAnsi="Tahoma"/>
      <w:sz w:val="16"/>
      <w:szCs w:val="16"/>
      <w:lang w:eastAsia="x-none"/>
    </w:rPr>
  </w:style>
  <w:style w:type="character" w:styleId="BuborkszvegChar">
    <w:name w:val="Buborékszöveg Char"/>
    <w:link w:val="Buborkszveg"/>
    <w:uiPriority w:val="99"/>
    <w:semiHidden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nhideWhenUsed/>
    <w:pPr>
      <w:tabs>
        <w:tab w:pos="4703" w:val="center"/>
        <w:tab w:pos="9406" w:val="right"/>
      </w:tabs>
    </w:pPr>
    <w:rPr/>
  </w:style>
  <w:style w:type="character" w:styleId="lfejChar">
    <w:name w:val="Élőfej Char"/>
    <w:link w:val="lfej"/>
    <w:rPr>
      <w:sz w:val="24"/>
      <w:szCs w:val="24"/>
      <w:lang w:val="hu-HU" w:eastAsia="hu-HU"/>
    </w:rPr>
  </w:style>
  <w:style w:type="paragraph" w:styleId="llb">
    <w:name w:val="footer"/>
    <w:basedOn w:val="Norml"/>
    <w:link w:val="llbChar"/>
    <w:uiPriority w:val="99"/>
    <w:unhideWhenUsed/>
    <w:pPr>
      <w:tabs>
        <w:tab w:pos="4703" w:val="center"/>
        <w:tab w:pos="9406" w:val="right"/>
      </w:tabs>
    </w:pPr>
    <w:rPr/>
  </w:style>
  <w:style w:type="character" w:styleId="llbChar">
    <w:name w:val="Élőláb Char"/>
    <w:link w:val="llb"/>
    <w:uiPriority w:val="99"/>
    <w:rPr>
      <w:sz w:val="24"/>
      <w:szCs w:val="24"/>
      <w:lang w:val="hu-HU" w:eastAsia="hu-HU"/>
    </w:rPr>
  </w:style>
  <w:style w:type="character" w:styleId="cim">
    <w:name w:val="cim"/>
    <w:rPr/>
  </w:style>
  <w:style w:type="paragraph" w:styleId="Vltozat">
    <w:name w:val="Revision"/>
    <w:uiPriority w:val="99"/>
    <w:semiHidden/>
    <w:pPr/>
    <w:rPr>
      <w:sz w:val="24"/>
      <w:szCs w:val="24"/>
    </w:rPr>
  </w:style>
  <w:style w:type="paragraph" w:styleId="Lbjegyzetszveg">
    <w:name w:val="footnote text"/>
    <w:basedOn w:val="Norml"/>
    <w:link w:val="LbjegyzetszvegChar"/>
    <w:uiPriority w:val="99"/>
    <w:semiHidden/>
    <w:unhideWhenUsed/>
    <w:pPr/>
    <w:rPr>
      <w:sz w:val="20"/>
      <w:szCs w:val="20"/>
    </w:rPr>
  </w:style>
  <w:style w:type="character" w:styleId="LbjegyzetszvegChar">
    <w:name w:val="Lábjegyzetszöveg Char"/>
    <w:basedOn w:val="Bekezdsalapbettpusa"/>
    <w:link w:val="Lbjegyzetszveg"/>
    <w:uiPriority w:val="99"/>
    <w:semiHidden/>
    <w:rPr/>
  </w:style>
  <w:style w:type="character" w:styleId="Lbjegyzet-hivatkozs">
    <w:name w:val="footnote reference"/>
    <w:basedOn w:val="Bekezdsalapbettpusa"/>
    <w:uiPriority w:val="99"/>
    <w:semiHidden/>
    <w:unhideWhenUsed/>
    <w:rPr>
      <w:vertAlign w:val="superscript"/>
    </w:rPr>
  </w:style>
  <w:style w:type="character" w:styleId="EndnoteReference">
    <w:name w:val="endnote reference"/>
    <w:basedOn w:val="Bekezdsalapbettpusa"/>
    <w:uiPriority w:val="99"/>
    <w:semiHidden/>
    <w:unhideWhenUsed/>
    <w:qFormat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131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93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6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8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3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9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webSettings" Target="webSettings.xml" /><Relationship Id="rId12" Type="http://schemas.openxmlformats.org/officeDocument/2006/relationships/theme" Target="theme/theme1.xml" /><Relationship Id="rId11" Type="http://schemas.openxmlformats.org/officeDocument/2006/relationships/fontTable" Target="fontTable.xml" /><Relationship Id="customXmlRid1" Type="http://schemas.openxmlformats.org/officeDocument/2006/relationships/customXml" Target="/customXml/item1.xml" /><Relationship Id="customXmlRid2" Type="http://schemas.openxmlformats.org/officeDocument/2006/relationships/customXml" Target="/customXml/item2.xml" /><Relationship Id="customXmlRid3" Type="http://schemas.openxmlformats.org/officeDocument/2006/relationships/customXml" Target="/customXml/item3.xml" /><Relationship Id="customXmlRid4" Type="http://schemas.openxmlformats.org/officeDocument/2006/relationships/customXml" Target="/customXml/item4.xml" /><Relationship Id="gemHfRid4" Type="http://schemas.openxmlformats.org/officeDocument/2006/relationships/header" Target="header1.xml" /><Relationship Id="rId1" Type="http://schemas.openxmlformats.org/officeDocument/2006/relationships/settings" Target="settings.xml" /><Relationship Id="rId2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_rels/item4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4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7a63ae98c9331042c85a0ce3caf3b722">
  <xsd:schema xmlns:xsd="http://www.w3.org/2001/XMLSchema" xmlns:p="http://schemas.microsoft.com/office/2006/metadata/properties" targetNamespace="http://schemas.microsoft.com/office/2006/metadata/properties" ma:root="true" ma:fieldsID="643ad641ad674e858ec36190b61f65cd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0D9302EB-6E9D-460E-AB48-EADC607A762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CA80D20-DA72-4099-814B-86E5DC3589D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95DBC96-3D9A-458E-9E9E-73684E30002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BD4FCE5-94C9-415D-8046-8369624ECD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Company>Magyar Vállakozásfejlesztési Kht.</Company>
  <Template>Normal.dotm</Template>
  <TotalTime>150</TotalTime>
  <Pages>3</Pages>
  <Words>795</Words>
  <Characters>5490</Characters>
  <DocSecurity>0</DocSecurity>
  <Lines>45</Lines>
  <Paragraphs>12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 Hitelintézet hivatalos papírján</vt:lpstr>
      <vt:lpstr>A Hitelintézet hivatalos papírján</vt:lpstr>
    </vt:vector>
  </TitlesOfParts>
  <LinksUpToDate>false</LinksUpToDate>
  <CharactersWithSpaces>6273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Hitelintézet hivatalos papírján</dc:title>
  <dc:creator>nagyju</dc:creator>
  <cp:lastModifiedBy>Milos Katalin</cp:lastModifiedBy>
  <cp:revision>11</cp:revision>
  <cp:lastPrinted>2018-03-26T09:00:00Z</cp:lastPrinted>
  <dcterms:created xsi:type="dcterms:W3CDTF">2026-04-10T07:10:00Z</dcterms:created>
  <dcterms:modified xsi:type="dcterms:W3CDTF">2026-09-21T09:05:00Z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29db9e61-aac5-4f6e-805d-ceb8cb9983a1_Enabled">
    <vt:lpwstr>true</vt:lpwstr>
  </property>
  <property fmtid="{D5CDD505-2E9C-101B-9397-08002B2CF9AE}" pid="3" name="MSIP_Label_29db9e61-aac5-4f6e-805d-ceb8cb9983a1_SetDate">
    <vt:lpwstr>2020-11-20T18:52:27Z</vt:lpwstr>
  </property>
  <property fmtid="{D5CDD505-2E9C-101B-9397-08002B2CF9AE}" pid="4" name="MSIP_Label_29db9e61-aac5-4f6e-805d-ceb8cb9983a1_Method">
    <vt:lpwstr>Standard</vt:lpwstr>
  </property>
  <property fmtid="{D5CDD505-2E9C-101B-9397-08002B2CF9AE}" pid="5" name="MSIP_Label_29db9e61-aac5-4f6e-805d-ceb8cb9983a1_Name">
    <vt:lpwstr>UniCredit - Internal Use Only - no visual markings</vt:lpwstr>
  </property>
  <property fmtid="{D5CDD505-2E9C-101B-9397-08002B2CF9AE}" pid="6" name="MSIP_Label_29db9e61-aac5-4f6e-805d-ceb8cb9983a1_SiteId">
    <vt:lpwstr>2cc49ce9-66a1-41ac-a96b-bdc54247696a</vt:lpwstr>
  </property>
  <property fmtid="{D5CDD505-2E9C-101B-9397-08002B2CF9AE}" pid="7" name="MSIP_Label_29db9e61-aac5-4f6e-805d-ceb8cb9983a1_ActionId">
    <vt:lpwstr>c1d2d280-dccc-43f7-9893-00008ff27393</vt:lpwstr>
  </property>
  <property fmtid="{D5CDD505-2E9C-101B-9397-08002B2CF9AE}" pid="8" name="MSIP_Label_29db9e61-aac5-4f6e-805d-ceb8cb9983a1_ContentBits">
    <vt:lpwstr>0</vt:lpwstr>
  </property>
  <property fmtid="{D5CDD505-2E9C-101B-9397-08002B2CF9AE}" pid="9" name="DMS_Doc_ID">
    <vt:lpwstr>2147698060</vt:lpwstr>
  </property>
</Properties>
</file>